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bookmarkStart w:id="0" w:name="_GoBack"/>
      <w:bookmarkEnd w:id="0"/>
    </w:p>
    <w:p>
      <w:pPr>
        <w:pStyle w:val="19"/>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哈政规〔</w:t>
      </w:r>
      <w:r>
        <w:rPr>
          <w:rFonts w:hint="eastAsia" w:ascii="仿宋_GB2312" w:hAnsi="仿宋_GB2312" w:eastAsia="仿宋_GB2312" w:cs="仿宋_GB2312"/>
          <w:sz w:val="32"/>
          <w:szCs w:val="32"/>
          <w:lang w:val="en-US" w:eastAsia="zh-CN"/>
        </w:rPr>
        <w:t>2024〕3号</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哈尔滨市人民政府</w:t>
      </w: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eastAsia="zh-CN"/>
        </w:rPr>
        <w:t>印发</w:t>
      </w:r>
      <w:r>
        <w:rPr>
          <w:rFonts w:hint="eastAsia"/>
        </w:rPr>
        <w:t>关于进一步推动哈尔滨市</w:t>
      </w: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小标宋简体"/>
          <w:lang w:eastAsia="zh-CN"/>
        </w:rPr>
      </w:pPr>
      <w:r>
        <w:rPr>
          <w:rFonts w:hint="eastAsia"/>
        </w:rPr>
        <w:t>房地产市场平稳健康发展若干措施</w:t>
      </w:r>
      <w:r>
        <w:rPr>
          <w:rFonts w:hint="eastAsia"/>
          <w:lang w:eastAsia="zh-CN"/>
        </w:rPr>
        <w:t>的通知</w:t>
      </w:r>
    </w:p>
    <w:p>
      <w:pPr>
        <w:pStyle w:val="19"/>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各区、县（市）人民政府，市政府各有关委、办、局，各有关单位：</w:t>
      </w:r>
    </w:p>
    <w:p>
      <w:pPr>
        <w:pStyle w:val="19"/>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现将《关于进一步推动哈尔滨市房地产市场平稳健康发展的若干措施》印发给你们，请认真贯彻落实。</w:t>
      </w:r>
    </w:p>
    <w:p>
      <w:pPr>
        <w:pStyle w:val="19"/>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哈尔滨市人民政府</w:t>
      </w:r>
    </w:p>
    <w:p>
      <w:pPr>
        <w:pStyle w:val="19"/>
        <w:keepNext w:val="0"/>
        <w:keepLines w:val="0"/>
        <w:pageBreakBefore w:val="0"/>
        <w:widowControl w:val="0"/>
        <w:kinsoku/>
        <w:wordWrap w:val="0"/>
        <w:overflowPunct/>
        <w:topLinePunct w:val="0"/>
        <w:autoSpaceDE/>
        <w:autoSpaceDN/>
        <w:bidi w:val="0"/>
        <w:adjustRightInd/>
        <w:snapToGrid/>
        <w:spacing w:line="240" w:lineRule="auto"/>
        <w:ind w:right="1282" w:rightChars="406"/>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2024年3月28日</w:t>
      </w:r>
    </w:p>
    <w:p>
      <w:pPr>
        <w:pStyle w:val="19"/>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（公开属性：主动公开）</w:t>
      </w:r>
    </w:p>
    <w:p>
      <w:pPr>
        <w:pStyle w:val="19"/>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关于进一步推动哈尔滨市</w:t>
      </w: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rPr>
        <w:t>房地产市场平稳健康发展的若干措施</w:t>
      </w:r>
    </w:p>
    <w:p>
      <w:pPr>
        <w:pStyle w:val="3"/>
        <w:keepNext w:val="0"/>
        <w:keepLines w:val="0"/>
        <w:pageBreakBefore w:val="0"/>
        <w:widowControl w:val="0"/>
        <w:kinsoku/>
        <w:wordWrap/>
        <w:overflowPunct/>
        <w:topLinePunct w:val="0"/>
        <w:autoSpaceDE/>
        <w:autoSpaceDN/>
        <w:bidi w:val="0"/>
        <w:snapToGrid/>
        <w:spacing w:line="240" w:lineRule="auto"/>
        <w:ind w:left="0" w:leftChars="0" w:firstLine="0" w:firstLineChars="0"/>
      </w:pP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lang w:eastAsia="zh-CN"/>
        </w:rPr>
        <w:t>为</w:t>
      </w:r>
      <w:r>
        <w:rPr>
          <w:rFonts w:hint="eastAsia"/>
        </w:rPr>
        <w:t>推动房地产市场平稳健康发展，进一步优化营商环境，增进民生福祉，按照“一城一策、因城施策”</w:t>
      </w:r>
      <w:r>
        <w:rPr>
          <w:rFonts w:hint="eastAsia"/>
          <w:lang w:eastAsia="zh-CN"/>
        </w:rPr>
        <w:t>的</w:t>
      </w:r>
      <w:r>
        <w:rPr>
          <w:rFonts w:hint="eastAsia"/>
        </w:rPr>
        <w:t>工作要求，结合我市实际，制定本措施。</w:t>
      </w:r>
    </w:p>
    <w:p>
      <w:pPr>
        <w:keepNext w:val="0"/>
        <w:keepLines w:val="0"/>
        <w:pageBreakBefore w:val="0"/>
        <w:widowControl w:val="0"/>
        <w:kinsoku/>
        <w:wordWrap/>
        <w:overflowPunct/>
        <w:topLinePunct w:val="0"/>
        <w:autoSpaceDE/>
        <w:autoSpaceDN/>
        <w:bidi w:val="0"/>
        <w:snapToGrid/>
        <w:spacing w:line="240" w:lineRule="auto"/>
        <w:ind w:firstLine="640"/>
        <w:rPr>
          <w:rFonts w:ascii="黑体" w:hAnsi="黑体" w:eastAsia="黑体"/>
        </w:rPr>
      </w:pPr>
      <w:r>
        <w:rPr>
          <w:rFonts w:hint="eastAsia" w:ascii="黑体" w:hAnsi="黑体" w:eastAsia="黑体"/>
        </w:rPr>
        <w:t>一、惠民方面</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（一）</w:t>
      </w:r>
      <w:r>
        <w:rPr>
          <w:rFonts w:hint="eastAsia"/>
        </w:rPr>
        <w:t>支持人才购房需求</w:t>
      </w:r>
    </w:p>
    <w:p>
      <w:pPr>
        <w:keepNext w:val="0"/>
        <w:keepLines w:val="0"/>
        <w:pageBreakBefore w:val="0"/>
        <w:widowControl w:val="0"/>
        <w:kinsoku/>
        <w:wordWrap/>
        <w:overflowPunct/>
        <w:topLinePunct w:val="0"/>
        <w:autoSpaceDE/>
        <w:autoSpaceDN/>
        <w:bidi w:val="0"/>
        <w:snapToGrid/>
        <w:spacing w:line="240" w:lineRule="auto"/>
        <w:ind w:firstLine="640"/>
        <w:rPr>
          <w:rFonts w:hint="eastAsia"/>
        </w:rPr>
      </w:pPr>
      <w:r>
        <w:rPr>
          <w:rFonts w:hint="eastAsia"/>
        </w:rPr>
        <w:t>2024年1月1日至2024年12月31日，对购房前在哈用人单位已缴纳6个月以上社保并纳入社保系统管理且处于存续状态的，以及自主创业、年龄在40周岁以下的各类人才（无户籍限制），在9区购买首套或第二套新建商品住房的，在取得《不动产权证书》后</w:t>
      </w:r>
      <w:r>
        <w:rPr>
          <w:rFonts w:hint="default"/>
          <w:lang w:val="en"/>
        </w:rPr>
        <w:t>,</w:t>
      </w:r>
      <w:r>
        <w:rPr>
          <w:rFonts w:hint="eastAsia"/>
        </w:rPr>
        <w:t>按照博士毕业生10万元、硕士毕业生5万元、本科毕业生及大中专毕业生（含技工院校预备技师班、高级工班毕业生）3万元的标准</w:t>
      </w:r>
      <w:r>
        <w:rPr>
          <w:rFonts w:hint="eastAsia"/>
          <w:lang w:eastAsia="zh-CN"/>
        </w:rPr>
        <w:t>，</w:t>
      </w:r>
      <w:r>
        <w:rPr>
          <w:rFonts w:hint="eastAsia"/>
        </w:rPr>
        <w:t>给予一次性购房补贴。经住院医师规范化培训合格的本科学历临床医师，享受与医学类硕士毕业生同等待遇。港澳台地区或海外留学人员（通过教育部认证的）享受与国内高校毕业生同等待遇。本项补贴以家庭为单位，夫妻双方不能同时享受。补贴资金由市财政承担。（牵头单位：市住建局，责任单位：市财政局、市人社局）</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（二）</w:t>
      </w:r>
      <w:r>
        <w:rPr>
          <w:rFonts w:hint="eastAsia"/>
        </w:rPr>
        <w:t>鼓励外地</w:t>
      </w:r>
      <w:r>
        <w:rPr>
          <w:rFonts w:hint="eastAsia"/>
          <w:lang w:eastAsia="zh-CN"/>
        </w:rPr>
        <w:t>户籍</w:t>
      </w:r>
      <w:r>
        <w:rPr>
          <w:rFonts w:hint="eastAsia"/>
        </w:rPr>
        <w:t>人</w:t>
      </w:r>
      <w:r>
        <w:rPr>
          <w:rFonts w:hint="eastAsia"/>
          <w:lang w:eastAsia="zh-CN"/>
        </w:rPr>
        <w:t>员</w:t>
      </w:r>
      <w:r>
        <w:rPr>
          <w:rFonts w:hint="eastAsia"/>
        </w:rPr>
        <w:t>购买商品房</w:t>
      </w:r>
    </w:p>
    <w:p>
      <w:pPr>
        <w:keepNext w:val="0"/>
        <w:keepLines w:val="0"/>
        <w:pageBreakBefore w:val="0"/>
        <w:widowControl w:val="0"/>
        <w:kinsoku/>
        <w:wordWrap/>
        <w:overflowPunct/>
        <w:topLinePunct w:val="0"/>
        <w:autoSpaceDE/>
        <w:autoSpaceDN/>
        <w:bidi w:val="0"/>
        <w:snapToGrid/>
        <w:spacing w:line="240" w:lineRule="auto"/>
        <w:ind w:firstLine="640"/>
        <w:rPr>
          <w:rFonts w:hAnsi="仿宋" w:cs="仿宋"/>
          <w:kern w:val="0"/>
          <w:szCs w:val="32"/>
        </w:rPr>
      </w:pPr>
      <w:r>
        <w:rPr>
          <w:rFonts w:hint="eastAsia"/>
        </w:rPr>
        <w:t>2024年1月1日至2024年12月31日，对非哈市户籍的</w:t>
      </w:r>
      <w:r>
        <w:rPr>
          <w:rFonts w:hint="eastAsia"/>
          <w:bCs/>
        </w:rPr>
        <w:t>个人在9区购买首套或第二套新建商品住房的，在取得《不动产权证书》后，按</w:t>
      </w:r>
      <w:r>
        <w:rPr>
          <w:rFonts w:hint="eastAsia" w:hAnsi="仿宋" w:cs="仿宋"/>
          <w:kern w:val="0"/>
          <w:szCs w:val="32"/>
        </w:rPr>
        <w:t>实际购房款的2%给予一次性购房补贴；</w:t>
      </w:r>
      <w:r>
        <w:rPr>
          <w:rFonts w:hint="eastAsia"/>
        </w:rPr>
        <w:t>非哈市户籍的</w:t>
      </w:r>
      <w:r>
        <w:rPr>
          <w:rFonts w:hint="eastAsia"/>
          <w:bCs/>
        </w:rPr>
        <w:t>个人在9区</w:t>
      </w:r>
      <w:r>
        <w:rPr>
          <w:rFonts w:hint="eastAsia" w:hAnsi="仿宋" w:cs="仿宋"/>
          <w:kern w:val="0"/>
          <w:szCs w:val="32"/>
        </w:rPr>
        <w:t>购买新建非住宅商品房（商业、办公、公寓）的，在取得《不动产权证书》后，按实际购房款的3%给予一次性购房补贴。补贴资金由市财政承担。（牵头单位：市住建局，责任单位：市财政局）</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（三）</w:t>
      </w:r>
      <w:r>
        <w:rPr>
          <w:rFonts w:hint="eastAsia"/>
        </w:rPr>
        <w:t>鼓励“卖旧买新”</w:t>
      </w:r>
    </w:p>
    <w:p>
      <w:pPr>
        <w:keepNext w:val="0"/>
        <w:keepLines w:val="0"/>
        <w:pageBreakBefore w:val="0"/>
        <w:widowControl w:val="0"/>
        <w:kinsoku/>
        <w:wordWrap/>
        <w:overflowPunct/>
        <w:topLinePunct w:val="0"/>
        <w:autoSpaceDE/>
        <w:autoSpaceDN/>
        <w:bidi w:val="0"/>
        <w:snapToGrid/>
        <w:spacing w:line="240" w:lineRule="auto"/>
        <w:ind w:firstLine="640"/>
        <w:rPr>
          <w:rFonts w:hint="eastAsia" w:hAnsi="仿宋" w:cs="仿宋"/>
          <w:kern w:val="0"/>
          <w:szCs w:val="32"/>
        </w:rPr>
      </w:pPr>
      <w:r>
        <w:rPr>
          <w:rFonts w:hint="eastAsia"/>
        </w:rPr>
        <w:t>2024年1月1日至2024年12月31日，对在9区出售</w:t>
      </w:r>
      <w:r>
        <w:rPr>
          <w:rFonts w:hint="eastAsia"/>
          <w:lang w:eastAsia="zh-CN"/>
        </w:rPr>
        <w:t>原</w:t>
      </w:r>
      <w:r>
        <w:rPr>
          <w:rFonts w:hint="eastAsia"/>
        </w:rPr>
        <w:t>自有住房并购买一套新建商品住房的家庭，</w:t>
      </w:r>
      <w:r>
        <w:rPr>
          <w:rFonts w:hint="eastAsia" w:hAnsi="仿宋" w:cs="仿宋"/>
          <w:kern w:val="0"/>
          <w:szCs w:val="32"/>
        </w:rPr>
        <w:t>在取得《不动产权证书》后，按新房</w:t>
      </w:r>
      <w:r>
        <w:rPr>
          <w:rFonts w:hint="eastAsia" w:hAnsi="仿宋" w:cs="仿宋"/>
          <w:kern w:val="0"/>
          <w:szCs w:val="32"/>
          <w:lang w:eastAsia="zh-CN"/>
        </w:rPr>
        <w:t>建筑面积</w:t>
      </w:r>
      <w:r>
        <w:rPr>
          <w:rFonts w:hint="eastAsia" w:hAnsi="仿宋" w:cs="仿宋"/>
          <w:kern w:val="0"/>
          <w:szCs w:val="32"/>
        </w:rPr>
        <w:t>100元/平方米的标准给予一次性购房补贴。卖旧房与买新房时间不分先后。补贴资金由市财政承担。（牵头单位：市住建局，责任单位：市财政局、市不动产登记中心）</w:t>
      </w:r>
    </w:p>
    <w:p>
      <w:pPr>
        <w:pStyle w:val="4"/>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default" w:ascii="仿宋_GB2312" w:hAnsi="仿宋" w:eastAsia="仿宋_GB2312" w:cs="仿宋"/>
          <w:kern w:val="0"/>
          <w:sz w:val="32"/>
          <w:szCs w:val="32"/>
          <w:lang w:val="en" w:eastAsia="zh-CN" w:bidi="ar-SA"/>
        </w:rPr>
      </w:pPr>
      <w:r>
        <w:rPr>
          <w:rFonts w:hint="eastAsia" w:ascii="仿宋_GB2312" w:hAnsi="仿宋" w:eastAsia="仿宋_GB2312" w:cs="仿宋"/>
          <w:kern w:val="0"/>
          <w:sz w:val="32"/>
          <w:szCs w:val="32"/>
          <w:lang w:val="en" w:eastAsia="zh-CN" w:bidi="ar-SA"/>
        </w:rPr>
        <w:t>同时符合</w:t>
      </w:r>
      <w:r>
        <w:rPr>
          <w:rFonts w:hint="default" w:ascii="仿宋_GB2312" w:hAnsi="仿宋" w:eastAsia="仿宋_GB2312" w:cs="仿宋"/>
          <w:kern w:val="0"/>
          <w:sz w:val="32"/>
          <w:szCs w:val="32"/>
          <w:lang w:val="en" w:eastAsia="zh-CN" w:bidi="ar-SA"/>
        </w:rPr>
        <w:t>第</w:t>
      </w:r>
      <w:r>
        <w:rPr>
          <w:rFonts w:hint="eastAsia" w:ascii="仿宋_GB2312" w:hAnsi="仿宋" w:eastAsia="仿宋_GB2312" w:cs="仿宋"/>
          <w:kern w:val="0"/>
          <w:sz w:val="32"/>
          <w:szCs w:val="32"/>
          <w:lang w:val="en" w:eastAsia="zh-CN" w:bidi="ar-SA"/>
        </w:rPr>
        <w:t>（一）项至第（三）</w:t>
      </w:r>
      <w:r>
        <w:rPr>
          <w:rFonts w:hint="default" w:ascii="仿宋_GB2312" w:hAnsi="仿宋" w:eastAsia="仿宋_GB2312" w:cs="仿宋"/>
          <w:kern w:val="0"/>
          <w:sz w:val="32"/>
          <w:szCs w:val="32"/>
          <w:lang w:val="en" w:eastAsia="zh-CN" w:bidi="ar-SA"/>
        </w:rPr>
        <w:t>项</w:t>
      </w:r>
      <w:r>
        <w:rPr>
          <w:rFonts w:hint="eastAsia" w:ascii="仿宋_GB2312" w:hAnsi="仿宋" w:eastAsia="仿宋_GB2312" w:cs="仿宋"/>
          <w:kern w:val="0"/>
          <w:sz w:val="32"/>
          <w:szCs w:val="32"/>
          <w:lang w:val="en" w:eastAsia="zh-CN" w:bidi="ar-SA"/>
        </w:rPr>
        <w:t>购房条件的购房人，可叠加享受购房补贴。</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（四）</w:t>
      </w:r>
      <w:r>
        <w:rPr>
          <w:rFonts w:hint="eastAsia"/>
        </w:rPr>
        <w:t>支持退役军人购房需求</w:t>
      </w:r>
    </w:p>
    <w:p>
      <w:pPr>
        <w:pStyle w:val="4"/>
        <w:keepNext w:val="0"/>
        <w:keepLines w:val="0"/>
        <w:pageBreakBefore w:val="0"/>
        <w:widowControl w:val="0"/>
        <w:kinsoku/>
        <w:wordWrap/>
        <w:overflowPunct/>
        <w:topLinePunct w:val="0"/>
        <w:autoSpaceDE/>
        <w:autoSpaceDN/>
        <w:bidi w:val="0"/>
        <w:adjustRightInd/>
        <w:snapToGrid/>
        <w:spacing w:after="0" w:line="240" w:lineRule="auto"/>
        <w:ind w:left="0" w:leftChars="0" w:firstLine="640"/>
        <w:textAlignment w:val="auto"/>
        <w:rPr>
          <w:rFonts w:hint="eastAsia" w:ascii="仿宋_GB2312" w:hAnsi="仿宋" w:eastAsia="仿宋_GB2312" w:cs="仿宋"/>
          <w:kern w:val="0"/>
          <w:szCs w:val="32"/>
        </w:rPr>
      </w:pPr>
      <w:r>
        <w:rPr>
          <w:rFonts w:hint="eastAsia" w:ascii="仿宋_GB2312" w:eastAsia="仿宋_GB2312"/>
          <w:szCs w:val="22"/>
        </w:rPr>
        <w:t>2024年1月1日至2024年12月31日，对退役军人在9区购买首套或第二套新建商品住房的，在取得《不动产权证书》后，给予一次性购房补贴3万元，补贴资</w:t>
      </w:r>
      <w:r>
        <w:rPr>
          <w:rFonts w:hint="eastAsia" w:ascii="仿宋_GB2312" w:hAnsi="仿宋" w:eastAsia="仿宋_GB2312" w:cs="仿宋"/>
          <w:kern w:val="0"/>
          <w:szCs w:val="32"/>
        </w:rPr>
        <w:t>金由市财政承担。（</w:t>
      </w:r>
      <w:r>
        <w:rPr>
          <w:rFonts w:hint="eastAsia" w:ascii="仿宋_GB2312" w:hAnsi="仿宋" w:eastAsia="仿宋_GB2312" w:cs="仿宋"/>
          <w:kern w:val="0"/>
          <w:szCs w:val="32"/>
          <w:lang w:eastAsia="zh-CN"/>
        </w:rPr>
        <w:t>牵头单位：</w:t>
      </w:r>
      <w:r>
        <w:rPr>
          <w:rFonts w:hint="eastAsia" w:ascii="仿宋_GB2312" w:hAnsi="仿宋" w:eastAsia="仿宋_GB2312" w:cs="仿宋"/>
          <w:kern w:val="0"/>
          <w:szCs w:val="32"/>
        </w:rPr>
        <w:t>市住建局</w:t>
      </w:r>
      <w:r>
        <w:rPr>
          <w:rFonts w:hint="eastAsia" w:ascii="仿宋_GB2312" w:hAnsi="仿宋" w:eastAsia="仿宋_GB2312" w:cs="仿宋"/>
          <w:kern w:val="0"/>
          <w:szCs w:val="32"/>
          <w:lang w:eastAsia="zh-CN"/>
        </w:rPr>
        <w:t>，</w:t>
      </w:r>
      <w:r>
        <w:rPr>
          <w:rFonts w:hint="eastAsia" w:ascii="仿宋_GB2312" w:hAnsi="仿宋" w:eastAsia="仿宋_GB2312" w:cs="仿宋"/>
          <w:kern w:val="0"/>
          <w:szCs w:val="32"/>
        </w:rPr>
        <w:t>责任单位：市财政局、市退役军人事务局）</w:t>
      </w:r>
    </w:p>
    <w:p>
      <w:pPr>
        <w:pStyle w:val="4"/>
        <w:keepNext w:val="0"/>
        <w:keepLines w:val="0"/>
        <w:pageBreakBefore w:val="0"/>
        <w:widowControl w:val="0"/>
        <w:kinsoku/>
        <w:wordWrap/>
        <w:overflowPunct/>
        <w:topLinePunct w:val="0"/>
        <w:autoSpaceDE/>
        <w:autoSpaceDN/>
        <w:bidi w:val="0"/>
        <w:adjustRightInd/>
        <w:snapToGrid/>
        <w:spacing w:after="0" w:line="240" w:lineRule="auto"/>
        <w:ind w:left="0" w:leftChars="0" w:firstLine="640"/>
        <w:textAlignment w:val="auto"/>
        <w:rPr>
          <w:rFonts w:hint="eastAsia" w:ascii="仿宋_GB2312" w:hAnsi="仿宋" w:eastAsia="仿宋_GB2312" w:cs="仿宋"/>
          <w:kern w:val="0"/>
          <w:szCs w:val="32"/>
          <w:lang w:eastAsia="zh-CN"/>
        </w:rPr>
      </w:pPr>
      <w:r>
        <w:rPr>
          <w:rFonts w:hint="eastAsia" w:ascii="仿宋_GB2312" w:hAnsi="仿宋" w:eastAsia="仿宋_GB2312" w:cs="仿宋"/>
          <w:kern w:val="0"/>
          <w:szCs w:val="32"/>
          <w:lang w:eastAsia="zh-CN"/>
        </w:rPr>
        <w:t>享受第（四）项补贴政策的，不再享受第（一）项至第（三）项购房补贴，且不再享受哈尔滨市政府及其所属部门出台的其他住房补贴政策。</w:t>
      </w:r>
    </w:p>
    <w:p>
      <w:pPr>
        <w:pStyle w:val="4"/>
        <w:keepNext w:val="0"/>
        <w:keepLines w:val="0"/>
        <w:pageBreakBefore w:val="0"/>
        <w:widowControl w:val="0"/>
        <w:kinsoku/>
        <w:wordWrap/>
        <w:overflowPunct/>
        <w:topLinePunct w:val="0"/>
        <w:autoSpaceDE/>
        <w:autoSpaceDN/>
        <w:bidi w:val="0"/>
        <w:adjustRightInd/>
        <w:snapToGrid/>
        <w:spacing w:after="0" w:line="240" w:lineRule="auto"/>
        <w:ind w:left="0" w:leftChars="0" w:firstLine="640"/>
        <w:textAlignment w:val="auto"/>
        <w:rPr>
          <w:rFonts w:hint="eastAsia" w:ascii="仿宋_GB2312" w:hAnsi="仿宋" w:eastAsia="仿宋_GB2312" w:cs="仿宋"/>
          <w:kern w:val="0"/>
          <w:szCs w:val="32"/>
          <w:highlight w:val="none"/>
          <w:lang w:eastAsia="zh-CN"/>
        </w:rPr>
      </w:pPr>
      <w:r>
        <w:rPr>
          <w:rFonts w:hint="eastAsia" w:ascii="仿宋_GB2312" w:hAnsi="仿宋" w:eastAsia="仿宋_GB2312" w:cs="仿宋"/>
          <w:kern w:val="0"/>
          <w:szCs w:val="32"/>
          <w:highlight w:val="none"/>
          <w:lang w:eastAsia="zh-CN"/>
        </w:rPr>
        <w:t>第（一）项至第（四）项涉及的个人所得税，由</w:t>
      </w:r>
      <w:r>
        <w:rPr>
          <w:rFonts w:hint="eastAsia" w:ascii="仿宋_GB2312" w:hAnsi="仿宋" w:eastAsia="仿宋_GB2312" w:cs="仿宋"/>
          <w:kern w:val="0"/>
          <w:szCs w:val="32"/>
          <w:highlight w:val="none"/>
          <w:lang w:val="en-US" w:eastAsia="zh-CN"/>
        </w:rPr>
        <w:t>补贴资金</w:t>
      </w:r>
      <w:r>
        <w:rPr>
          <w:rFonts w:hint="eastAsia" w:ascii="仿宋_GB2312" w:hAnsi="仿宋" w:eastAsia="仿宋_GB2312" w:cs="仿宋"/>
          <w:kern w:val="0"/>
          <w:szCs w:val="32"/>
          <w:highlight w:val="none"/>
          <w:lang w:eastAsia="zh-CN"/>
        </w:rPr>
        <w:t>发放部门代扣代缴。</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（五）</w:t>
      </w:r>
      <w:r>
        <w:rPr>
          <w:rFonts w:hint="eastAsia"/>
        </w:rPr>
        <w:t>鼓励企业购买商业、办公用房</w:t>
      </w:r>
    </w:p>
    <w:p>
      <w:pPr>
        <w:keepNext w:val="0"/>
        <w:keepLines w:val="0"/>
        <w:pageBreakBefore w:val="0"/>
        <w:widowControl w:val="0"/>
        <w:kinsoku/>
        <w:wordWrap/>
        <w:overflowPunct/>
        <w:topLinePunct w:val="0"/>
        <w:autoSpaceDE/>
        <w:autoSpaceDN/>
        <w:bidi w:val="0"/>
        <w:snapToGrid/>
        <w:spacing w:line="240" w:lineRule="auto"/>
        <w:ind w:firstLine="640"/>
        <w:rPr>
          <w:rFonts w:hint="eastAsia" w:hAnsi="仿宋" w:cs="仿宋"/>
          <w:kern w:val="0"/>
          <w:szCs w:val="32"/>
        </w:rPr>
      </w:pPr>
      <w:r>
        <w:rPr>
          <w:rFonts w:hint="eastAsia"/>
        </w:rPr>
        <w:t>2024年1月1日至2024年12月31日，对</w:t>
      </w:r>
      <w:r>
        <w:rPr>
          <w:rFonts w:hint="eastAsia"/>
          <w:lang w:eastAsia="zh-CN"/>
        </w:rPr>
        <w:t>已</w:t>
      </w:r>
      <w:r>
        <w:rPr>
          <w:rFonts w:hint="eastAsia" w:hAnsi="仿宋" w:cs="仿宋"/>
          <w:kern w:val="0"/>
          <w:szCs w:val="32"/>
        </w:rPr>
        <w:t>在</w:t>
      </w:r>
      <w:r>
        <w:rPr>
          <w:rFonts w:hint="eastAsia" w:hAnsi="仿宋" w:cs="仿宋"/>
          <w:kern w:val="0"/>
          <w:szCs w:val="32"/>
          <w:lang w:eastAsia="zh-CN"/>
        </w:rPr>
        <w:t>哈</w:t>
      </w:r>
      <w:r>
        <w:rPr>
          <w:rFonts w:hint="eastAsia" w:hAnsi="仿宋" w:cs="仿宋"/>
          <w:kern w:val="0"/>
          <w:szCs w:val="32"/>
        </w:rPr>
        <w:t>市</w:t>
      </w:r>
      <w:r>
        <w:rPr>
          <w:rFonts w:hint="eastAsia" w:hAnsi="仿宋" w:cs="仿宋"/>
          <w:kern w:val="0"/>
          <w:szCs w:val="32"/>
          <w:lang w:eastAsia="zh-CN"/>
        </w:rPr>
        <w:t>行政区域</w:t>
      </w:r>
      <w:r>
        <w:rPr>
          <w:rFonts w:hint="eastAsia" w:hAnsi="仿宋" w:cs="仿宋"/>
          <w:kern w:val="0"/>
          <w:szCs w:val="32"/>
        </w:rPr>
        <w:t>内注册登记，且上一年度总纳税额达3000万元以上的企业（不含房地产企业）在9区购买新建商业、办公用房</w:t>
      </w:r>
      <w:r>
        <w:rPr>
          <w:rFonts w:hint="eastAsia" w:hAnsi="仿宋" w:cs="仿宋"/>
          <w:kern w:val="0"/>
          <w:szCs w:val="32"/>
          <w:highlight w:val="none"/>
          <w:lang w:eastAsia="zh-CN"/>
        </w:rPr>
        <w:t>（不含公寓）</w:t>
      </w:r>
      <w:r>
        <w:rPr>
          <w:rFonts w:hint="eastAsia" w:hAnsi="仿宋" w:cs="仿宋"/>
          <w:kern w:val="0"/>
          <w:szCs w:val="32"/>
        </w:rPr>
        <w:t>的，在取得《不动产权证书》后，按</w:t>
      </w:r>
      <w:r>
        <w:rPr>
          <w:rFonts w:hint="eastAsia" w:hAnsi="仿宋" w:cs="仿宋"/>
          <w:kern w:val="0"/>
          <w:szCs w:val="32"/>
          <w:lang w:eastAsia="zh-CN"/>
        </w:rPr>
        <w:t>建筑面积</w:t>
      </w:r>
      <w:r>
        <w:rPr>
          <w:rFonts w:hint="eastAsia" w:hAnsi="仿宋" w:cs="仿宋"/>
          <w:kern w:val="0"/>
          <w:szCs w:val="32"/>
        </w:rPr>
        <w:t>500元/平方米的标准给予最高</w:t>
      </w:r>
      <w:r>
        <w:rPr>
          <w:rFonts w:hint="eastAsia" w:hAnsi="仿宋" w:cs="仿宋"/>
          <w:kern w:val="0"/>
          <w:szCs w:val="32"/>
          <w:lang w:eastAsia="zh-CN"/>
        </w:rPr>
        <w:t>不超过</w:t>
      </w:r>
      <w:r>
        <w:rPr>
          <w:rFonts w:hint="eastAsia" w:hAnsi="仿宋" w:cs="仿宋"/>
          <w:kern w:val="0"/>
          <w:szCs w:val="32"/>
        </w:rPr>
        <w:t>300万元</w:t>
      </w:r>
      <w:r>
        <w:rPr>
          <w:rFonts w:hint="eastAsia" w:hAnsi="仿宋" w:cs="仿宋"/>
          <w:kern w:val="0"/>
          <w:szCs w:val="32"/>
          <w:lang w:eastAsia="zh-CN"/>
        </w:rPr>
        <w:t>的</w:t>
      </w:r>
      <w:r>
        <w:rPr>
          <w:rFonts w:hint="eastAsia" w:hAnsi="仿宋" w:cs="仿宋"/>
          <w:kern w:val="0"/>
          <w:szCs w:val="32"/>
        </w:rPr>
        <w:t>一次性购房补贴。所购房屋3年内不得转让。补贴资金由市财政承担。（牵头单位：市住建局，责任单位：市财政局、市税务局</w:t>
      </w:r>
      <w:r>
        <w:rPr>
          <w:rFonts w:hint="eastAsia" w:hAnsi="仿宋" w:cs="仿宋"/>
          <w:kern w:val="0"/>
          <w:szCs w:val="32"/>
          <w:lang w:eastAsia="zh-CN"/>
        </w:rPr>
        <w:t>、市不动产登记中心</w:t>
      </w:r>
      <w:r>
        <w:rPr>
          <w:rFonts w:hint="eastAsia" w:hAnsi="仿宋" w:cs="仿宋"/>
          <w:kern w:val="0"/>
          <w:szCs w:val="32"/>
        </w:rPr>
        <w:t>）</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（六）</w:t>
      </w:r>
      <w:r>
        <w:rPr>
          <w:rFonts w:hint="eastAsia"/>
        </w:rPr>
        <w:t>优化住房公积金个人住房贷款套数认定标准</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住房套数认定以职工家庭</w:t>
      </w:r>
      <w:r>
        <w:rPr>
          <w:rFonts w:hint="eastAsia"/>
          <w:lang w:eastAsia="zh-CN"/>
        </w:rPr>
        <w:t>（</w:t>
      </w:r>
      <w:r>
        <w:rPr>
          <w:rFonts w:hint="eastAsia"/>
        </w:rPr>
        <w:t>包括借款申请人、配偶及未成年子女，下同</w:t>
      </w:r>
      <w:r>
        <w:rPr>
          <w:rFonts w:hint="eastAsia"/>
          <w:lang w:eastAsia="zh-CN"/>
        </w:rPr>
        <w:t>）</w:t>
      </w:r>
      <w:r>
        <w:rPr>
          <w:rFonts w:hint="eastAsia"/>
        </w:rPr>
        <w:t>在购房地人民政府负责住房套数查询登记部门或认定责任部门出具的结果为准。职工家庭购房地无住房且</w:t>
      </w:r>
      <w:r>
        <w:rPr>
          <w:rFonts w:hint="eastAsia"/>
          <w:lang w:eastAsia="zh-CN"/>
        </w:rPr>
        <w:t>在</w:t>
      </w:r>
      <w:r>
        <w:rPr>
          <w:rFonts w:hint="eastAsia"/>
        </w:rPr>
        <w:t>全国范围内第一次使用公积金贷款的</w:t>
      </w:r>
      <w:r>
        <w:rPr>
          <w:rFonts w:hint="eastAsia"/>
          <w:lang w:eastAsia="zh-CN"/>
        </w:rPr>
        <w:t>，</w:t>
      </w:r>
      <w:r>
        <w:rPr>
          <w:rFonts w:hint="eastAsia"/>
        </w:rPr>
        <w:t>执行首套房贷款政策;对公积金首次贷款结清且购房地无房产，</w:t>
      </w:r>
      <w:r>
        <w:rPr>
          <w:rFonts w:hint="eastAsia"/>
          <w:lang w:eastAsia="zh-CN"/>
        </w:rPr>
        <w:t>在</w:t>
      </w:r>
      <w:r>
        <w:rPr>
          <w:rFonts w:hint="eastAsia"/>
        </w:rPr>
        <w:t>全国范围内第二次使用公积金贷款的职工家庭，执行首套房贷款政策。职工家庭在购房地购买第三套及以上住房或</w:t>
      </w:r>
      <w:r>
        <w:rPr>
          <w:rFonts w:hint="eastAsia"/>
          <w:lang w:eastAsia="zh-CN"/>
        </w:rPr>
        <w:t>在</w:t>
      </w:r>
      <w:r>
        <w:rPr>
          <w:rFonts w:hint="eastAsia"/>
        </w:rPr>
        <w:t>全国范围内已使用过两次住房公积金贷款的，不予发放住房公积金贷款。（牵头单位：哈公积金中心）</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（七）</w:t>
      </w:r>
      <w:r>
        <w:rPr>
          <w:rFonts w:hint="eastAsia"/>
        </w:rPr>
        <w:t>规范推动“商转公”贷款</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对已办理商业贷款且具备公积金贷款资格的借款申请人</w:t>
      </w:r>
      <w:r>
        <w:rPr>
          <w:rFonts w:hint="eastAsia"/>
          <w:lang w:eastAsia="zh-CN"/>
        </w:rPr>
        <w:t>，可</w:t>
      </w:r>
      <w:r>
        <w:rPr>
          <w:rFonts w:hint="eastAsia"/>
        </w:rPr>
        <w:t>向公积金中心申请将符合转贷条件的商业贷款本金余额转</w:t>
      </w:r>
      <w:r>
        <w:rPr>
          <w:rFonts w:hint="eastAsia"/>
          <w:lang w:eastAsia="zh-CN"/>
        </w:rPr>
        <w:t>为</w:t>
      </w:r>
      <w:r>
        <w:rPr>
          <w:rFonts w:hint="eastAsia"/>
        </w:rPr>
        <w:t>公积金贷款。办理商转公贷款</w:t>
      </w:r>
      <w:r>
        <w:rPr>
          <w:rFonts w:hint="eastAsia"/>
          <w:lang w:eastAsia="zh-CN"/>
        </w:rPr>
        <w:t>适用</w:t>
      </w:r>
      <w:r>
        <w:rPr>
          <w:rFonts w:hint="eastAsia"/>
        </w:rPr>
        <w:t>先还后贷和顺位抵押两种方式。（牵头单位：哈公积金中心）</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（八）</w:t>
      </w:r>
      <w:r>
        <w:rPr>
          <w:rFonts w:hint="eastAsia"/>
        </w:rPr>
        <w:t>优化公积金贷款政策</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在确保房屋抵押物价值的前提下，二手房公积金贷款房龄年限由20年提高</w:t>
      </w:r>
      <w:r>
        <w:rPr>
          <w:rFonts w:hint="eastAsia"/>
          <w:lang w:eastAsia="zh-CN"/>
        </w:rPr>
        <w:t>至</w:t>
      </w:r>
      <w:r>
        <w:rPr>
          <w:rFonts w:hint="eastAsia"/>
        </w:rPr>
        <w:t>30年，且贷款年限与房龄之和不</w:t>
      </w:r>
      <w:r>
        <w:rPr>
          <w:rFonts w:hint="eastAsia"/>
          <w:lang w:eastAsia="zh-CN"/>
        </w:rPr>
        <w:t>得</w:t>
      </w:r>
      <w:r>
        <w:rPr>
          <w:rFonts w:hint="eastAsia"/>
        </w:rPr>
        <w:t>超过50年。</w:t>
      </w:r>
      <w:r>
        <w:rPr>
          <w:rFonts w:hint="eastAsia"/>
          <w:highlight w:val="none"/>
        </w:rPr>
        <w:t>单职工贷款最高额度由</w:t>
      </w:r>
      <w:r>
        <w:rPr>
          <w:rFonts w:hint="default"/>
          <w:highlight w:val="none"/>
          <w:lang w:val="en"/>
        </w:rPr>
        <w:t>60</w:t>
      </w:r>
      <w:r>
        <w:rPr>
          <w:rFonts w:hint="eastAsia"/>
          <w:highlight w:val="none"/>
        </w:rPr>
        <w:t>万元提高至</w:t>
      </w:r>
      <w:r>
        <w:rPr>
          <w:highlight w:val="none"/>
        </w:rPr>
        <w:t>80</w:t>
      </w:r>
      <w:r>
        <w:rPr>
          <w:rFonts w:hint="eastAsia"/>
          <w:highlight w:val="none"/>
        </w:rPr>
        <w:t>万元，双职工贷款最高额度由</w:t>
      </w:r>
      <w:r>
        <w:rPr>
          <w:rFonts w:hint="default"/>
          <w:highlight w:val="none"/>
          <w:lang w:val="en"/>
        </w:rPr>
        <w:t>80</w:t>
      </w:r>
      <w:r>
        <w:rPr>
          <w:rFonts w:hint="eastAsia"/>
          <w:highlight w:val="none"/>
        </w:rPr>
        <w:t>万元提高至</w:t>
      </w:r>
      <w:r>
        <w:rPr>
          <w:highlight w:val="none"/>
        </w:rPr>
        <w:t>100</w:t>
      </w:r>
      <w:r>
        <w:rPr>
          <w:rFonts w:hint="eastAsia"/>
          <w:highlight w:val="none"/>
        </w:rPr>
        <w:t>万元。</w:t>
      </w:r>
      <w:r>
        <w:rPr>
          <w:rFonts w:hint="eastAsia"/>
        </w:rPr>
        <w:t>允许异地缴存公积金职工申请公积金贷款在哈购房，且</w:t>
      </w:r>
      <w:r>
        <w:rPr>
          <w:rFonts w:hint="eastAsia"/>
          <w:lang w:eastAsia="zh-CN"/>
        </w:rPr>
        <w:t>与</w:t>
      </w:r>
      <w:r>
        <w:rPr>
          <w:rFonts w:hint="eastAsia"/>
        </w:rPr>
        <w:t>在哈缴存公积金职工享受同等住房公积金贷款政策。放宽灵活就业人员建户缴存公积金政策，灵活就业人员在社保开户后即可申请缴存住房公积金。放宽住房公积金组合贷款业务，职工使用公积金贷款仍不能满足</w:t>
      </w:r>
      <w:r>
        <w:rPr>
          <w:rFonts w:hint="eastAsia"/>
          <w:lang w:eastAsia="zh-CN"/>
        </w:rPr>
        <w:t>购房</w:t>
      </w:r>
      <w:r>
        <w:rPr>
          <w:rFonts w:hint="eastAsia"/>
        </w:rPr>
        <w:t>需要的，可申请组合贷款。（牵头单位：哈公积金中心）</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（九）</w:t>
      </w:r>
      <w:r>
        <w:rPr>
          <w:rFonts w:hint="eastAsia"/>
        </w:rPr>
        <w:t>支持高层次人才公积金贷款</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具有高级职称的女性专业技术人员住房公积金个人贷款年龄由55周岁调整为60周岁。符合</w:t>
      </w:r>
      <w:r>
        <w:rPr>
          <w:rFonts w:hint="eastAsia"/>
          <w:lang w:eastAsia="zh-CN"/>
        </w:rPr>
        <w:t>我</w:t>
      </w:r>
      <w:r>
        <w:rPr>
          <w:rFonts w:hint="eastAsia"/>
        </w:rPr>
        <w:t>市高层次人才相关政策规定</w:t>
      </w:r>
      <w:r>
        <w:rPr>
          <w:rFonts w:hint="eastAsia"/>
          <w:lang w:eastAsia="zh-CN"/>
        </w:rPr>
        <w:t>、</w:t>
      </w:r>
      <w:r>
        <w:rPr>
          <w:rFonts w:hint="eastAsia"/>
        </w:rPr>
        <w:t>在市人社部门已领取一次性安家费人员作为主贷人</w:t>
      </w:r>
      <w:r>
        <w:rPr>
          <w:rFonts w:hint="eastAsia"/>
          <w:lang w:eastAsia="zh-CN"/>
        </w:rPr>
        <w:t>，</w:t>
      </w:r>
      <w:r>
        <w:rPr>
          <w:rFonts w:hint="eastAsia"/>
        </w:rPr>
        <w:t>且在哈建立个人住房公积金账户并连续足额缴存6个月（含）以上</w:t>
      </w:r>
      <w:r>
        <w:rPr>
          <w:rFonts w:hint="eastAsia"/>
          <w:lang w:eastAsia="zh-CN"/>
        </w:rPr>
        <w:t>的，</w:t>
      </w:r>
      <w:r>
        <w:rPr>
          <w:rFonts w:hint="eastAsia"/>
        </w:rPr>
        <w:t>在哈购买家庭首套住宅即可申请住房公积金贷款，贷款最高额度按照住房公积金账户余额的40倍计算。（牵头单位：哈公积金中心，责任单位：市人社局）</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w:t>
      </w:r>
      <w:r>
        <w:rPr>
          <w:rFonts w:hint="eastAsia"/>
        </w:rPr>
        <w:t>提升存量房交易便捷度</w:t>
      </w:r>
      <w:r>
        <w:rPr>
          <w:rFonts w:hint="eastAsia"/>
          <w:lang w:eastAsia="zh-CN"/>
        </w:rPr>
        <w:t>、</w:t>
      </w:r>
      <w:r>
        <w:rPr>
          <w:rFonts w:hint="eastAsia"/>
        </w:rPr>
        <w:t>完善工作流程</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建立哈尔滨市房屋交易服务平台，推进存量房交易全流程网</w:t>
      </w:r>
      <w:r>
        <w:rPr>
          <w:rFonts w:hint="eastAsia"/>
          <w:lang w:eastAsia="zh-CN"/>
        </w:rPr>
        <w:t>上</w:t>
      </w:r>
      <w:r>
        <w:rPr>
          <w:rFonts w:hint="eastAsia"/>
        </w:rPr>
        <w:t>办</w:t>
      </w:r>
      <w:r>
        <w:rPr>
          <w:rFonts w:hint="eastAsia"/>
          <w:lang w:eastAsia="zh-CN"/>
        </w:rPr>
        <w:t>理</w:t>
      </w:r>
      <w:r>
        <w:rPr>
          <w:rFonts w:hint="eastAsia"/>
        </w:rPr>
        <w:t>，探索打造存量房网签备案、抵押、资金监管、税费缴纳、不动产登记线上化和一站式申办模式。完善存量房交易资金监管机制，扩展存量房交易资金监管服务银行网点覆盖面。进一步推动存量房交易“带押过户”业务发展，引导商业银行由“同行办”向“跨行办”延伸；开展住房公积金贷款“带押过户”业务试点。（牵头单位：市住建局，责任单位：市</w:t>
      </w:r>
      <w:r>
        <w:rPr>
          <w:rFonts w:hint="eastAsia"/>
          <w:lang w:eastAsia="zh-CN"/>
        </w:rPr>
        <w:t>资源规划</w:t>
      </w:r>
      <w:r>
        <w:rPr>
          <w:rFonts w:hint="eastAsia"/>
        </w:rPr>
        <w:t>局、市金融局、哈公积金中心、市不动产登记中心、人民银行黑龙江省分行、金融监管总局黑龙江监管局）</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（十一）支持</w:t>
      </w:r>
      <w:r>
        <w:rPr>
          <w:rFonts w:hint="eastAsia"/>
        </w:rPr>
        <w:t>公寓</w:t>
      </w:r>
      <w:r>
        <w:rPr>
          <w:rFonts w:hint="eastAsia"/>
          <w:lang w:eastAsia="zh-CN"/>
        </w:rPr>
        <w:t>类房屋居住需求</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lang w:eastAsia="zh-CN"/>
        </w:rPr>
        <w:t>对</w:t>
      </w:r>
      <w:r>
        <w:rPr>
          <w:rFonts w:hint="eastAsia"/>
        </w:rPr>
        <w:t>实际用于居住用途的公寓</w:t>
      </w:r>
      <w:r>
        <w:rPr>
          <w:rFonts w:hint="eastAsia"/>
          <w:lang w:eastAsia="zh-CN"/>
        </w:rPr>
        <w:t>类房屋</w:t>
      </w:r>
      <w:r>
        <w:rPr>
          <w:rFonts w:hint="eastAsia"/>
        </w:rPr>
        <w:t>，</w:t>
      </w:r>
      <w:r>
        <w:rPr>
          <w:rFonts w:hint="eastAsia"/>
          <w:lang w:eastAsia="zh-CN"/>
        </w:rPr>
        <w:t>执行居民用户供热、供水、供电收费</w:t>
      </w:r>
      <w:r>
        <w:rPr>
          <w:rFonts w:hint="eastAsia"/>
        </w:rPr>
        <w:t>标准。根据公寓类房屋</w:t>
      </w:r>
      <w:r>
        <w:rPr>
          <w:rFonts w:hint="eastAsia"/>
          <w:lang w:eastAsia="zh-CN"/>
        </w:rPr>
        <w:t>所在</w:t>
      </w:r>
      <w:r>
        <w:rPr>
          <w:rFonts w:hint="eastAsia"/>
        </w:rPr>
        <w:t>区域义务教育学校学位情况，实施</w:t>
      </w:r>
      <w:r>
        <w:rPr>
          <w:rFonts w:hint="eastAsia"/>
          <w:lang w:eastAsia="zh-CN"/>
        </w:rPr>
        <w:t>“</w:t>
      </w:r>
      <w:r>
        <w:rPr>
          <w:rFonts w:hint="eastAsia"/>
        </w:rPr>
        <w:t>一区一策</w:t>
      </w:r>
      <w:r>
        <w:rPr>
          <w:rFonts w:hint="eastAsia"/>
          <w:lang w:eastAsia="zh-CN"/>
        </w:rPr>
        <w:t>”</w:t>
      </w:r>
      <w:r>
        <w:rPr>
          <w:rFonts w:hint="eastAsia"/>
        </w:rPr>
        <w:t>统筹安置</w:t>
      </w:r>
      <w:r>
        <w:rPr>
          <w:rFonts w:hint="eastAsia"/>
          <w:lang w:eastAsia="zh-CN"/>
        </w:rPr>
        <w:t>产权人家庭适龄子女</w:t>
      </w:r>
      <w:r>
        <w:rPr>
          <w:rFonts w:hint="eastAsia"/>
        </w:rPr>
        <w:t>入学。（牵头单位：市发改委，责任单位：</w:t>
      </w:r>
      <w:r>
        <w:rPr>
          <w:rFonts w:hint="eastAsia"/>
          <w:lang w:eastAsia="zh-CN"/>
        </w:rPr>
        <w:t>市住建局、市教育局、水务发展集团</w:t>
      </w:r>
      <w:r>
        <w:rPr>
          <w:rFonts w:hint="eastAsia"/>
        </w:rPr>
        <w:t>、国网哈尔滨</w:t>
      </w:r>
      <w:r>
        <w:rPr>
          <w:rFonts w:hint="eastAsia"/>
          <w:lang w:eastAsia="zh-CN"/>
        </w:rPr>
        <w:t>供电</w:t>
      </w:r>
      <w:r>
        <w:rPr>
          <w:rFonts w:hint="eastAsia"/>
        </w:rPr>
        <w:t>公司）</w:t>
      </w:r>
    </w:p>
    <w:p>
      <w:pPr>
        <w:keepNext w:val="0"/>
        <w:keepLines w:val="0"/>
        <w:pageBreakBefore w:val="0"/>
        <w:widowControl w:val="0"/>
        <w:kinsoku/>
        <w:wordWrap/>
        <w:overflowPunct/>
        <w:topLinePunct w:val="0"/>
        <w:autoSpaceDE/>
        <w:autoSpaceDN/>
        <w:bidi w:val="0"/>
        <w:snapToGrid/>
        <w:spacing w:line="240" w:lineRule="auto"/>
        <w:ind w:firstLine="640"/>
        <w:rPr>
          <w:rFonts w:ascii="黑体" w:hAnsi="黑体" w:eastAsia="黑体"/>
        </w:rPr>
      </w:pPr>
      <w:r>
        <w:rPr>
          <w:rFonts w:hint="eastAsia" w:ascii="黑体" w:hAnsi="黑体" w:eastAsia="黑体"/>
        </w:rPr>
        <w:t>二、惠企方面</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（十二）</w:t>
      </w:r>
      <w:r>
        <w:rPr>
          <w:rFonts w:hint="eastAsia"/>
        </w:rPr>
        <w:t>聚焦规划统筹引领，着力打造高品质住宅项目</w:t>
      </w:r>
    </w:p>
    <w:p>
      <w:pPr>
        <w:pStyle w:val="14"/>
        <w:keepNext w:val="0"/>
        <w:keepLines w:val="0"/>
        <w:pageBreakBefore w:val="0"/>
        <w:widowControl w:val="0"/>
        <w:numPr>
          <w:ilvl w:val="0"/>
          <w:numId w:val="0"/>
        </w:numPr>
        <w:kinsoku/>
        <w:wordWrap/>
        <w:overflowPunct/>
        <w:topLinePunct w:val="0"/>
        <w:autoSpaceDE/>
        <w:autoSpaceDN/>
        <w:bidi w:val="0"/>
        <w:snapToGrid/>
        <w:spacing w:line="240" w:lineRule="auto"/>
        <w:ind w:firstLine="632" w:firstLineChars="200"/>
        <w:rPr>
          <w:rFonts w:ascii="仿宋_GB2312" w:eastAsia="仿宋_GB2312"/>
        </w:rPr>
      </w:pPr>
      <w:r>
        <w:rPr>
          <w:rFonts w:hint="eastAsia" w:ascii="仿宋_GB2312" w:eastAsia="仿宋_GB2312"/>
        </w:rPr>
        <w:t>1.对拟出让用地，在控制性详细规划编制中增加用地兼容性，支持居住用地、商业商务用地兼容比例灵活处置，在严格落实国务院关于新建社区商业和综合服务设施面积占社区总建筑面积比例不得低于10%标准的基础上，将“按项目配比商业商务”调整为“按同等生活圈内配比商业商务”，经论证可满足“同等生活圈内配比商业商务”要求的前提下，可根据市场需求和区域统筹，在土地出让前核发《规划条件》阶段，科学合理降低容积率和用地强度，适当下调居住公建比例，加大低密度、高品质商品住宅用地供应。</w:t>
      </w:r>
    </w:p>
    <w:p>
      <w:pPr>
        <w:pStyle w:val="14"/>
        <w:keepNext w:val="0"/>
        <w:keepLines w:val="0"/>
        <w:pageBreakBefore w:val="0"/>
        <w:widowControl w:val="0"/>
        <w:numPr>
          <w:ilvl w:val="0"/>
          <w:numId w:val="0"/>
        </w:numPr>
        <w:kinsoku/>
        <w:wordWrap/>
        <w:overflowPunct/>
        <w:topLinePunct w:val="0"/>
        <w:autoSpaceDE/>
        <w:autoSpaceDN/>
        <w:bidi w:val="0"/>
        <w:snapToGrid/>
        <w:spacing w:line="240" w:lineRule="auto"/>
        <w:ind w:firstLine="632" w:firstLineChars="200"/>
        <w:rPr>
          <w:rFonts w:ascii="仿宋_GB2312" w:eastAsia="仿宋_GB2312"/>
        </w:rPr>
      </w:pPr>
      <w:r>
        <w:rPr>
          <w:rFonts w:hint="eastAsia" w:ascii="仿宋_GB2312" w:eastAsia="仿宋_GB2312"/>
        </w:rPr>
        <w:t>2.对拟出让单宗商住用地面积较大的地块，通过规划调整合理确定多个独立地块，分别出具《规划条件》，可按多宗地同时供应或分期分批供应，严禁各地块之间容积率指标相互平衡。对新建项目车位配建标准，按照《哈尔滨市建设项目停车场配建标准》规定执行。</w:t>
      </w:r>
    </w:p>
    <w:p>
      <w:pPr>
        <w:pStyle w:val="14"/>
        <w:keepNext w:val="0"/>
        <w:keepLines w:val="0"/>
        <w:pageBreakBefore w:val="0"/>
        <w:widowControl w:val="0"/>
        <w:numPr>
          <w:ilvl w:val="0"/>
          <w:numId w:val="0"/>
        </w:numPr>
        <w:kinsoku/>
        <w:wordWrap/>
        <w:overflowPunct/>
        <w:topLinePunct w:val="0"/>
        <w:autoSpaceDE/>
        <w:autoSpaceDN/>
        <w:bidi w:val="0"/>
        <w:snapToGrid/>
        <w:spacing w:line="240" w:lineRule="auto"/>
        <w:ind w:firstLine="632" w:firstLineChars="200"/>
        <w:rPr>
          <w:rFonts w:ascii="仿宋_GB2312" w:hAnsi="仿宋_GB2312" w:eastAsia="仿宋_GB2312" w:cs="仿宋_GB2312"/>
        </w:rPr>
      </w:pPr>
      <w:r>
        <w:rPr>
          <w:rFonts w:hint="eastAsia" w:ascii="仿宋_GB2312" w:eastAsia="仿宋_GB2312"/>
        </w:rPr>
        <w:t>3.</w:t>
      </w:r>
      <w:r>
        <w:rPr>
          <w:rFonts w:hint="eastAsia" w:ascii="仿宋_GB2312" w:hAnsi="仿宋_GB2312" w:eastAsia="仿宋_GB2312" w:cs="仿宋_GB2312"/>
        </w:rPr>
        <w:t>用地单位在办理《建设工程规划许可证》阶段，</w:t>
      </w:r>
      <w:r>
        <w:rPr>
          <w:rFonts w:hint="eastAsia" w:ascii="仿宋_GB2312" w:hAnsi="仿宋_GB2312" w:eastAsia="仿宋_GB2312" w:cs="仿宋_GB2312"/>
          <w:lang w:eastAsia="zh-CN"/>
        </w:rPr>
        <w:t>可</w:t>
      </w:r>
      <w:r>
        <w:rPr>
          <w:rFonts w:hint="eastAsia" w:ascii="仿宋_GB2312" w:hAnsi="仿宋_GB2312" w:eastAsia="仿宋_GB2312" w:cs="仿宋_GB2312"/>
        </w:rPr>
        <w:t>先行核发项目总平面位置图，待用地单位确定单体平、立、剖面图并</w:t>
      </w:r>
      <w:r>
        <w:rPr>
          <w:rFonts w:hint="eastAsia" w:ascii="仿宋_GB2312" w:hAnsi="仿宋_GB2312" w:eastAsia="仿宋_GB2312" w:cs="仿宋_GB2312"/>
          <w:lang w:eastAsia="zh-CN"/>
        </w:rPr>
        <w:t>取得</w:t>
      </w:r>
      <w:r>
        <w:rPr>
          <w:rFonts w:hint="eastAsia" w:ascii="仿宋_GB2312" w:hAnsi="仿宋_GB2312" w:eastAsia="仿宋_GB2312" w:cs="仿宋_GB2312"/>
        </w:rPr>
        <w:t>《建筑工程施工许可证》后，再核发项目立面效果图，</w:t>
      </w:r>
      <w:r>
        <w:rPr>
          <w:rFonts w:hint="eastAsia" w:ascii="仿宋_GB2312" w:hAnsi="仿宋_GB2312" w:eastAsia="仿宋_GB2312" w:cs="仿宋_GB2312"/>
          <w:lang w:eastAsia="zh-CN"/>
        </w:rPr>
        <w:t>有效</w:t>
      </w:r>
      <w:r>
        <w:rPr>
          <w:rFonts w:hint="eastAsia" w:ascii="仿宋_GB2312" w:hAnsi="仿宋_GB2312" w:eastAsia="仿宋_GB2312" w:cs="仿宋_GB2312"/>
        </w:rPr>
        <w:t>缩短项目审批时间。</w:t>
      </w:r>
    </w:p>
    <w:p>
      <w:pPr>
        <w:pStyle w:val="14"/>
        <w:keepNext w:val="0"/>
        <w:keepLines w:val="0"/>
        <w:pageBreakBefore w:val="0"/>
        <w:widowControl w:val="0"/>
        <w:numPr>
          <w:ilvl w:val="0"/>
          <w:numId w:val="0"/>
        </w:numPr>
        <w:kinsoku/>
        <w:wordWrap/>
        <w:overflowPunct/>
        <w:topLinePunct w:val="0"/>
        <w:autoSpaceDE/>
        <w:autoSpaceDN/>
        <w:bidi w:val="0"/>
        <w:snapToGrid/>
        <w:spacing w:line="240" w:lineRule="auto"/>
        <w:ind w:firstLine="632"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eastAsia="仿宋_GB2312"/>
          <w:highlight w:val="none"/>
        </w:rPr>
        <w:t>牵头单位：市</w:t>
      </w:r>
      <w:r>
        <w:rPr>
          <w:rFonts w:hint="eastAsia" w:ascii="仿宋_GB2312" w:eastAsia="仿宋_GB2312"/>
          <w:highlight w:val="none"/>
          <w:lang w:eastAsia="zh-CN"/>
        </w:rPr>
        <w:t>资源规划</w:t>
      </w:r>
      <w:r>
        <w:rPr>
          <w:rFonts w:hint="eastAsia" w:ascii="仿宋_GB2312" w:eastAsia="仿宋_GB2312"/>
          <w:highlight w:val="none"/>
        </w:rPr>
        <w:t>局</w:t>
      </w:r>
      <w:r>
        <w:rPr>
          <w:rFonts w:hint="eastAsia" w:ascii="仿宋_GB2312" w:eastAsia="仿宋_GB2312"/>
          <w:highlight w:val="none"/>
          <w:lang w:val="en"/>
        </w:rPr>
        <w:t>，</w:t>
      </w:r>
      <w:r>
        <w:rPr>
          <w:rFonts w:hint="eastAsia" w:ascii="仿宋_GB2312" w:eastAsia="仿宋_GB2312"/>
          <w:highlight w:val="none"/>
        </w:rPr>
        <w:t>责任单位：市住建局、各区政府</w:t>
      </w:r>
      <w:r>
        <w:rPr>
          <w:rFonts w:hint="eastAsia" w:ascii="仿宋_GB2312" w:hAnsi="仿宋_GB2312" w:eastAsia="仿宋_GB2312" w:cs="仿宋_GB2312"/>
          <w:highlight w:val="none"/>
        </w:rPr>
        <w:t>）</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rPr>
          <w:rFonts w:ascii="楷体" w:hAnsi="楷体" w:eastAsia="楷体"/>
        </w:rPr>
      </w:pPr>
      <w:r>
        <w:rPr>
          <w:rFonts w:hint="eastAsia"/>
          <w:lang w:eastAsia="zh-CN"/>
        </w:rPr>
        <w:t>（十三）</w:t>
      </w:r>
      <w:r>
        <w:rPr>
          <w:rFonts w:hint="eastAsia"/>
        </w:rPr>
        <w:t>创新居住户型设计，满足改善性住房需求</w:t>
      </w:r>
    </w:p>
    <w:p>
      <w:pPr>
        <w:keepNext w:val="0"/>
        <w:keepLines w:val="0"/>
        <w:pageBreakBefore w:val="0"/>
        <w:widowControl w:val="0"/>
        <w:kinsoku/>
        <w:wordWrap/>
        <w:overflowPunct/>
        <w:topLinePunct w:val="0"/>
        <w:autoSpaceDE/>
        <w:autoSpaceDN/>
        <w:bidi w:val="0"/>
        <w:snapToGrid/>
        <w:spacing w:line="240" w:lineRule="auto"/>
        <w:ind w:firstLine="640"/>
        <w:rPr>
          <w:color w:val="000000"/>
        </w:rPr>
      </w:pPr>
      <w:r>
        <w:rPr>
          <w:rFonts w:hint="eastAsia"/>
          <w:color w:val="000000"/>
        </w:rPr>
        <w:t>1.确定住宅开敞阳台及设备平台建筑面积和容积率计算规则。对尚未办理规划条件核实的住宅项目</w:t>
      </w:r>
      <w:r>
        <w:rPr>
          <w:rFonts w:hint="eastAsia"/>
          <w:color w:val="000000"/>
          <w:lang w:eastAsia="zh-CN"/>
        </w:rPr>
        <w:t>和</w:t>
      </w:r>
      <w:r>
        <w:rPr>
          <w:rFonts w:hint="eastAsia"/>
          <w:color w:val="000000"/>
        </w:rPr>
        <w:t>新建住宅项目，可配置更舒适的</w:t>
      </w:r>
      <w:r>
        <w:rPr>
          <w:rFonts w:hint="eastAsia"/>
        </w:rPr>
        <w:t>开敞</w:t>
      </w:r>
      <w:r>
        <w:rPr>
          <w:rFonts w:hint="eastAsia"/>
          <w:color w:val="000000"/>
        </w:rPr>
        <w:t>阳台，合理设置设备平台，建筑面积及容积率按</w:t>
      </w:r>
      <w:r>
        <w:rPr>
          <w:rFonts w:hint="eastAsia"/>
          <w:color w:val="000000"/>
          <w:lang w:eastAsia="zh-CN"/>
        </w:rPr>
        <w:t>照</w:t>
      </w:r>
      <w:r>
        <w:rPr>
          <w:rFonts w:hint="eastAsia"/>
          <w:color w:val="000000"/>
        </w:rPr>
        <w:t>以下标准进行计算。</w:t>
      </w:r>
    </w:p>
    <w:p>
      <w:pPr>
        <w:keepNext w:val="0"/>
        <w:keepLines w:val="0"/>
        <w:pageBreakBefore w:val="0"/>
        <w:widowControl w:val="0"/>
        <w:kinsoku/>
        <w:wordWrap/>
        <w:overflowPunct/>
        <w:topLinePunct w:val="0"/>
        <w:autoSpaceDE/>
        <w:autoSpaceDN/>
        <w:bidi w:val="0"/>
        <w:snapToGrid/>
        <w:spacing w:line="240" w:lineRule="auto"/>
        <w:ind w:firstLine="640"/>
        <w:rPr>
          <w:color w:val="000000"/>
        </w:rPr>
      </w:pPr>
      <w:r>
        <w:rPr>
          <w:rFonts w:hint="eastAsia"/>
          <w:color w:val="000000"/>
        </w:rPr>
        <w:t>（1）</w:t>
      </w:r>
      <w:r>
        <w:rPr>
          <w:rFonts w:hint="eastAsia"/>
        </w:rPr>
        <w:t>所有开敞</w:t>
      </w:r>
      <w:r>
        <w:rPr>
          <w:rFonts w:hint="eastAsia"/>
          <w:color w:val="000000"/>
        </w:rPr>
        <w:t>阳台水平投影面积不大于该住宅套内建筑面积（含开敞阳台建筑面积）20%的，按照水平投影50%计算建筑面积和容积率。</w:t>
      </w:r>
    </w:p>
    <w:p>
      <w:pPr>
        <w:keepNext w:val="0"/>
        <w:keepLines w:val="0"/>
        <w:pageBreakBefore w:val="0"/>
        <w:widowControl w:val="0"/>
        <w:kinsoku/>
        <w:wordWrap/>
        <w:overflowPunct/>
        <w:topLinePunct w:val="0"/>
        <w:autoSpaceDE/>
        <w:autoSpaceDN/>
        <w:bidi w:val="0"/>
        <w:snapToGrid/>
        <w:spacing w:line="240" w:lineRule="auto"/>
        <w:ind w:firstLine="640"/>
        <w:rPr>
          <w:color w:val="000000"/>
        </w:rPr>
      </w:pPr>
      <w:r>
        <w:rPr>
          <w:rFonts w:hint="eastAsia"/>
          <w:color w:val="000000"/>
        </w:rPr>
        <w:t>（2）每户住宅设置设备平台水平投影面积之和不超过5平方米的</w:t>
      </w:r>
      <w:r>
        <w:rPr>
          <w:rFonts w:hint="eastAsia"/>
          <w:color w:val="000000"/>
          <w:lang w:eastAsia="zh-CN"/>
        </w:rPr>
        <w:t>，</w:t>
      </w:r>
      <w:r>
        <w:rPr>
          <w:rFonts w:hint="eastAsia"/>
          <w:color w:val="000000"/>
        </w:rPr>
        <w:t>不计算建筑面积和容积率</w:t>
      </w:r>
      <w:r>
        <w:rPr>
          <w:rFonts w:hint="eastAsia"/>
          <w:color w:val="000000"/>
          <w:lang w:eastAsia="zh-CN"/>
        </w:rPr>
        <w:t>；</w:t>
      </w:r>
      <w:r>
        <w:rPr>
          <w:rFonts w:hint="eastAsia"/>
          <w:color w:val="000000"/>
        </w:rPr>
        <w:t>超出</w:t>
      </w:r>
      <w:r>
        <w:rPr>
          <w:rFonts w:hint="eastAsia"/>
          <w:color w:val="000000"/>
          <w:lang w:val="en-US" w:eastAsia="zh-CN"/>
        </w:rPr>
        <w:t>5平方米</w:t>
      </w:r>
      <w:r>
        <w:rPr>
          <w:rFonts w:hint="eastAsia"/>
          <w:color w:val="000000"/>
        </w:rPr>
        <w:t>部分</w:t>
      </w:r>
      <w:r>
        <w:rPr>
          <w:rFonts w:hint="eastAsia"/>
          <w:color w:val="000000"/>
          <w:lang w:eastAsia="zh-CN"/>
        </w:rPr>
        <w:t>面积，</w:t>
      </w:r>
      <w:r>
        <w:rPr>
          <w:rFonts w:hint="eastAsia"/>
          <w:color w:val="000000"/>
        </w:rPr>
        <w:t>按其水平投影面积计算建筑面积和容积率。</w:t>
      </w:r>
    </w:p>
    <w:p>
      <w:pPr>
        <w:keepNext w:val="0"/>
        <w:keepLines w:val="0"/>
        <w:pageBreakBefore w:val="0"/>
        <w:widowControl w:val="0"/>
        <w:kinsoku/>
        <w:wordWrap/>
        <w:overflowPunct/>
        <w:topLinePunct w:val="0"/>
        <w:autoSpaceDE/>
        <w:autoSpaceDN/>
        <w:bidi w:val="0"/>
        <w:snapToGrid/>
        <w:spacing w:line="240" w:lineRule="auto"/>
        <w:ind w:firstLine="640"/>
        <w:rPr>
          <w:color w:val="000000"/>
        </w:rPr>
      </w:pPr>
      <w:r>
        <w:rPr>
          <w:rFonts w:hint="eastAsia"/>
          <w:color w:val="000000"/>
        </w:rPr>
        <w:t>2.优化不计容积率建筑面积规则。结构顶板高出室外地坪小于等于1.5米的地下空间建筑面积不计入容积率和建筑覆盖率。地下室设置商业的，用地功能须已包含商业功能，应</w:t>
      </w:r>
      <w:r>
        <w:rPr>
          <w:rFonts w:hint="eastAsia"/>
          <w:color w:val="000000"/>
          <w:lang w:eastAsia="zh-CN"/>
        </w:rPr>
        <w:t>当</w:t>
      </w:r>
      <w:r>
        <w:rPr>
          <w:rFonts w:hint="eastAsia"/>
          <w:color w:val="000000"/>
        </w:rPr>
        <w:t>按</w:t>
      </w:r>
      <w:r>
        <w:rPr>
          <w:rFonts w:hint="eastAsia"/>
          <w:color w:val="000000"/>
          <w:lang w:eastAsia="zh-CN"/>
        </w:rPr>
        <w:t>照</w:t>
      </w:r>
      <w:r>
        <w:rPr>
          <w:rFonts w:hint="eastAsia"/>
          <w:color w:val="000000"/>
        </w:rPr>
        <w:t>商业功能配建停车位。对已完成规划条件核实的建设项目不得申请新增地下室商业。</w:t>
      </w:r>
    </w:p>
    <w:p>
      <w:pPr>
        <w:keepNext w:val="0"/>
        <w:keepLines w:val="0"/>
        <w:pageBreakBefore w:val="0"/>
        <w:widowControl w:val="0"/>
        <w:kinsoku/>
        <w:wordWrap/>
        <w:overflowPunct/>
        <w:topLinePunct w:val="0"/>
        <w:autoSpaceDE/>
        <w:autoSpaceDN/>
        <w:bidi w:val="0"/>
        <w:snapToGrid/>
        <w:spacing w:line="240" w:lineRule="auto"/>
        <w:ind w:firstLine="640"/>
        <w:rPr>
          <w:color w:val="000000"/>
        </w:rPr>
      </w:pPr>
      <w:r>
        <w:rPr>
          <w:rFonts w:hint="eastAsia"/>
          <w:color w:val="000000"/>
        </w:rPr>
        <w:t>各</w:t>
      </w:r>
      <w:r>
        <w:rPr>
          <w:rFonts w:hint="eastAsia"/>
          <w:iCs/>
          <w:color w:val="000000"/>
        </w:rPr>
        <w:t>用地单位、建筑设计单位应</w:t>
      </w:r>
      <w:r>
        <w:rPr>
          <w:rFonts w:hint="eastAsia"/>
          <w:iCs/>
          <w:color w:val="000000"/>
          <w:lang w:eastAsia="zh-CN"/>
        </w:rPr>
        <w:t>当</w:t>
      </w:r>
      <w:r>
        <w:rPr>
          <w:rFonts w:hint="eastAsia"/>
          <w:iCs/>
          <w:color w:val="000000"/>
        </w:rPr>
        <w:t>遵守</w:t>
      </w:r>
      <w:r>
        <w:rPr>
          <w:rFonts w:hint="eastAsia"/>
          <w:iCs/>
          <w:color w:val="000000"/>
          <w:lang w:eastAsia="zh-CN"/>
        </w:rPr>
        <w:t>本项第</w:t>
      </w:r>
      <w:r>
        <w:rPr>
          <w:rFonts w:hint="eastAsia"/>
          <w:iCs/>
          <w:color w:val="000000"/>
          <w:lang w:val="en-US" w:eastAsia="zh-CN"/>
        </w:rPr>
        <w:t>1、2款</w:t>
      </w:r>
      <w:r>
        <w:rPr>
          <w:rFonts w:hint="eastAsia"/>
          <w:iCs/>
          <w:color w:val="000000"/>
        </w:rPr>
        <w:t>标准进行设计和施工建设；资源规划部门按照上述标准对总平面位置图进行审查；施工图审查机构应</w:t>
      </w:r>
      <w:r>
        <w:rPr>
          <w:rFonts w:hint="eastAsia"/>
          <w:iCs/>
          <w:color w:val="000000"/>
          <w:lang w:eastAsia="zh-CN"/>
        </w:rPr>
        <w:t>当</w:t>
      </w:r>
      <w:r>
        <w:rPr>
          <w:rFonts w:hint="eastAsia"/>
          <w:iCs/>
          <w:color w:val="000000"/>
        </w:rPr>
        <w:t>按照上述标准对施工图进行审查</w:t>
      </w:r>
      <w:r>
        <w:rPr>
          <w:rFonts w:hint="eastAsia"/>
          <w:color w:val="000000"/>
        </w:rPr>
        <w:t>；施工监理及安全管理、建筑测量等相关机构也</w:t>
      </w:r>
      <w:r>
        <w:rPr>
          <w:rFonts w:hint="eastAsia"/>
          <w:color w:val="000000"/>
          <w:lang w:eastAsia="zh-CN"/>
        </w:rPr>
        <w:t>须</w:t>
      </w:r>
      <w:r>
        <w:rPr>
          <w:rFonts w:hint="eastAsia"/>
          <w:color w:val="000000"/>
        </w:rPr>
        <w:t>严格按照上述标准进行监管和测量。如未按照上述标准进行施工建设</w:t>
      </w:r>
      <w:r>
        <w:rPr>
          <w:rFonts w:hint="eastAsia"/>
          <w:color w:val="000000"/>
          <w:lang w:eastAsia="zh-CN"/>
        </w:rPr>
        <w:t>的</w:t>
      </w:r>
      <w:r>
        <w:rPr>
          <w:rFonts w:hint="eastAsia"/>
          <w:color w:val="000000"/>
        </w:rPr>
        <w:t>，用地单位</w:t>
      </w:r>
      <w:r>
        <w:rPr>
          <w:rFonts w:hint="eastAsia"/>
          <w:color w:val="000000"/>
          <w:lang w:eastAsia="zh-CN"/>
        </w:rPr>
        <w:t>应当承担</w:t>
      </w:r>
      <w:r>
        <w:rPr>
          <w:rFonts w:hint="eastAsia"/>
          <w:color w:val="000000"/>
        </w:rPr>
        <w:t>相应责任。</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（牵头单位：市</w:t>
      </w:r>
      <w:r>
        <w:rPr>
          <w:rFonts w:hint="eastAsia"/>
          <w:lang w:eastAsia="zh-CN"/>
        </w:rPr>
        <w:t>资源规划</w:t>
      </w:r>
      <w:r>
        <w:rPr>
          <w:rFonts w:hint="eastAsia"/>
        </w:rPr>
        <w:t>局，责任单位：市住建局）</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（十四）</w:t>
      </w:r>
      <w:r>
        <w:rPr>
          <w:rFonts w:hint="eastAsia"/>
        </w:rPr>
        <w:t>支持企业分期开发建设，分期办理建设审批手续</w:t>
      </w:r>
    </w:p>
    <w:p>
      <w:pPr>
        <w:keepNext w:val="0"/>
        <w:keepLines w:val="0"/>
        <w:pageBreakBefore w:val="0"/>
        <w:widowControl w:val="0"/>
        <w:kinsoku/>
        <w:wordWrap/>
        <w:overflowPunct/>
        <w:topLinePunct w:val="0"/>
        <w:autoSpaceDE/>
        <w:autoSpaceDN/>
        <w:bidi w:val="0"/>
        <w:snapToGrid/>
        <w:spacing w:line="240" w:lineRule="auto"/>
        <w:ind w:firstLine="640" w:firstLineChars="0"/>
        <w:rPr>
          <w:rFonts w:ascii="楷体_GB2312" w:hAnsi="楷体_GB2312" w:eastAsia="楷体_GB2312" w:cs="楷体_GB2312"/>
        </w:rPr>
      </w:pPr>
      <w:r>
        <w:rPr>
          <w:rFonts w:hint="eastAsia"/>
        </w:rPr>
        <w:t>1.支持分期缴纳土地出让价款。本《措施》发布实施后，对拟出让土地（含已发布土地出让公告项目），根据供地主体意见，可采取一次性或分期的方式缴纳土地出让价款，最迟付款时间不得超过一年，并按照合同约定缴纳相应利息或违约金。</w:t>
      </w:r>
    </w:p>
    <w:p>
      <w:pPr>
        <w:keepNext w:val="0"/>
        <w:keepLines w:val="0"/>
        <w:pageBreakBefore w:val="0"/>
        <w:widowControl w:val="0"/>
        <w:kinsoku/>
        <w:wordWrap/>
        <w:overflowPunct/>
        <w:topLinePunct w:val="0"/>
        <w:autoSpaceDE/>
        <w:autoSpaceDN/>
        <w:bidi w:val="0"/>
        <w:snapToGrid/>
        <w:spacing w:line="240" w:lineRule="auto"/>
        <w:ind w:firstLine="640" w:firstLineChars="0"/>
      </w:pPr>
      <w:r>
        <w:rPr>
          <w:rFonts w:hint="eastAsia"/>
        </w:rPr>
        <w:t>2.支持分期开发建设。本《措施》发布实施后，对已出让土地或拟出让土地，用地单位缴纳土地出让价款不低于《国有建设用地使用权出让合同》约定总出让价款50%且可覆盖分期地块的出让价款，项目总平面图经市</w:t>
      </w:r>
      <w:r>
        <w:rPr>
          <w:rFonts w:hint="eastAsia"/>
          <w:lang w:eastAsia="zh-CN"/>
        </w:rPr>
        <w:t>资源规划</w:t>
      </w:r>
      <w:r>
        <w:rPr>
          <w:rFonts w:hint="eastAsia"/>
        </w:rPr>
        <w:t>部门审定具备独立开发建设条件、配套设施可先行建设的，用地单位可申请分期核发《建设工程规划许可证》《建筑工程施工许可证》《不动产权证书》《商品房预售许可证》等。对分期开发建设项目，市</w:t>
      </w:r>
      <w:r>
        <w:rPr>
          <w:rFonts w:hint="eastAsia"/>
          <w:lang w:eastAsia="zh-CN"/>
        </w:rPr>
        <w:t>资源规划</w:t>
      </w:r>
      <w:r>
        <w:rPr>
          <w:rFonts w:hint="eastAsia"/>
        </w:rPr>
        <w:t>部门与用地单位签订《国有建设用地使用权出让合同（合同补充条款）》后，不动产部门核发《不动产权证书》。对用地单位</w:t>
      </w:r>
      <w:r>
        <w:rPr>
          <w:rFonts w:hint="eastAsia"/>
          <w:lang w:eastAsia="zh-CN"/>
        </w:rPr>
        <w:t>未</w:t>
      </w:r>
      <w:r>
        <w:rPr>
          <w:rFonts w:hint="eastAsia"/>
        </w:rPr>
        <w:t>按《国有建设用地使用权出让合同》约定期限缴纳剩余出让价款的情形，可利用超出初始监管额度以外的预售监管资金缴纳出让价款，由住建部门、</w:t>
      </w:r>
      <w:r>
        <w:rPr>
          <w:rFonts w:hint="eastAsia"/>
          <w:lang w:eastAsia="zh-CN"/>
        </w:rPr>
        <w:t>资源规划</w:t>
      </w:r>
      <w:r>
        <w:rPr>
          <w:rFonts w:hint="eastAsia"/>
        </w:rPr>
        <w:t>部门、监管银行和用地单位采取签订《预售资金监管协议》的方式予以</w:t>
      </w:r>
      <w:r>
        <w:rPr>
          <w:rFonts w:hint="eastAsia"/>
          <w:lang w:eastAsia="zh-CN"/>
        </w:rPr>
        <w:t>执行</w:t>
      </w:r>
      <w:r>
        <w:rPr>
          <w:rFonts w:hint="eastAsia"/>
        </w:rPr>
        <w:t>。</w:t>
      </w:r>
    </w:p>
    <w:p>
      <w:pPr>
        <w:keepNext w:val="0"/>
        <w:keepLines w:val="0"/>
        <w:pageBreakBefore w:val="0"/>
        <w:widowControl w:val="0"/>
        <w:kinsoku/>
        <w:wordWrap/>
        <w:overflowPunct/>
        <w:topLinePunct w:val="0"/>
        <w:autoSpaceDE/>
        <w:autoSpaceDN/>
        <w:bidi w:val="0"/>
        <w:snapToGrid/>
        <w:spacing w:line="240" w:lineRule="auto"/>
        <w:ind w:firstLine="640" w:firstLineChars="0"/>
      </w:pPr>
      <w:r>
        <w:rPr>
          <w:rFonts w:hint="eastAsia"/>
        </w:rPr>
        <w:t>3.支持分期分区域规划核实。对分期开发</w:t>
      </w:r>
      <w:r>
        <w:rPr>
          <w:rFonts w:hint="eastAsia"/>
          <w:lang w:eastAsia="zh-CN"/>
        </w:rPr>
        <w:t>的</w:t>
      </w:r>
      <w:r>
        <w:rPr>
          <w:rFonts w:hint="eastAsia"/>
        </w:rPr>
        <w:t>建设项目，应</w:t>
      </w:r>
      <w:r>
        <w:rPr>
          <w:rFonts w:hint="eastAsia"/>
          <w:lang w:eastAsia="zh-CN"/>
        </w:rPr>
        <w:t>当</w:t>
      </w:r>
      <w:r>
        <w:rPr>
          <w:rFonts w:hint="eastAsia"/>
        </w:rPr>
        <w:t>具备</w:t>
      </w:r>
      <w:r>
        <w:rPr>
          <w:rFonts w:hint="eastAsia"/>
          <w:lang w:eastAsia="zh-CN"/>
        </w:rPr>
        <w:t>房屋使用人交通</w:t>
      </w:r>
      <w:r>
        <w:rPr>
          <w:rFonts w:hint="eastAsia"/>
        </w:rPr>
        <w:t>出行条件，在满足联合验收</w:t>
      </w:r>
      <w:r>
        <w:rPr>
          <w:rFonts w:hint="eastAsia"/>
          <w:lang w:eastAsia="zh-CN"/>
        </w:rPr>
        <w:t>的</w:t>
      </w:r>
      <w:r>
        <w:rPr>
          <w:rFonts w:hint="eastAsia"/>
        </w:rPr>
        <w:t>前提下，用地单位可申请分期或分区域进行规划条件核实。</w:t>
      </w:r>
    </w:p>
    <w:p>
      <w:pPr>
        <w:keepNext w:val="0"/>
        <w:keepLines w:val="0"/>
        <w:pageBreakBefore w:val="0"/>
        <w:widowControl w:val="0"/>
        <w:kinsoku/>
        <w:wordWrap/>
        <w:overflowPunct/>
        <w:topLinePunct w:val="0"/>
        <w:autoSpaceDE/>
        <w:autoSpaceDN/>
        <w:bidi w:val="0"/>
        <w:snapToGrid/>
        <w:spacing w:line="240" w:lineRule="auto"/>
        <w:ind w:firstLine="474" w:firstLineChars="150"/>
      </w:pPr>
      <w:r>
        <w:rPr>
          <w:rFonts w:hint="eastAsia"/>
        </w:rPr>
        <w:t>（牵头单位：市</w:t>
      </w:r>
      <w:r>
        <w:rPr>
          <w:rFonts w:hint="eastAsia"/>
          <w:lang w:eastAsia="zh-CN"/>
        </w:rPr>
        <w:t>资源规划</w:t>
      </w:r>
      <w:r>
        <w:rPr>
          <w:rFonts w:hint="eastAsia"/>
        </w:rPr>
        <w:t>局，责任单位：市住建局、市国动办、市税务局、市不动产登记中心）</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（十五）</w:t>
      </w:r>
      <w:r>
        <w:rPr>
          <w:rFonts w:hint="eastAsia"/>
        </w:rPr>
        <w:t>助力企业先行进场施工，有效缩短项目开盘时间</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firstLine="632" w:firstLineChars="200"/>
        <w:rPr>
          <w:rFonts w:ascii="仿宋_GB2312" w:eastAsia="仿宋_GB2312"/>
        </w:rPr>
      </w:pPr>
      <w:r>
        <w:rPr>
          <w:rFonts w:hint="eastAsia" w:ascii="仿宋_GB2312" w:eastAsia="仿宋_GB2312"/>
        </w:rPr>
        <w:t>在</w:t>
      </w:r>
      <w:r>
        <w:rPr>
          <w:rFonts w:hint="eastAsia" w:ascii="仿宋_GB2312" w:eastAsia="仿宋_GB2312"/>
          <w:lang w:eastAsia="zh-CN"/>
        </w:rPr>
        <w:t>房地产开发</w:t>
      </w:r>
      <w:r>
        <w:rPr>
          <w:rFonts w:hint="eastAsia" w:ascii="仿宋_GB2312" w:eastAsia="仿宋_GB2312"/>
        </w:rPr>
        <w:t>项目出让公告发布后，允许用地意向单位无偿获取用地红线矢量文件，支持提前开展地块规划方案设计；允许用地意向单位在不损坏地块地貌的前提下，经供地主体部门同意先行进场对宗地进行现场踏查和地质勘测；允许用地意向单位向市</w:t>
      </w:r>
      <w:r>
        <w:rPr>
          <w:rFonts w:hint="eastAsia" w:ascii="仿宋_GB2312" w:eastAsia="仿宋_GB2312"/>
          <w:lang w:eastAsia="zh-CN"/>
        </w:rPr>
        <w:t>资源规划</w:t>
      </w:r>
      <w:r>
        <w:rPr>
          <w:rFonts w:hint="eastAsia" w:ascii="仿宋_GB2312" w:eastAsia="仿宋_GB2312"/>
        </w:rPr>
        <w:t>部门申请对总平面图</w:t>
      </w:r>
      <w:r>
        <w:rPr>
          <w:rFonts w:hint="eastAsia" w:ascii="仿宋_GB2312" w:eastAsia="仿宋_GB2312"/>
          <w:lang w:eastAsia="zh-CN"/>
        </w:rPr>
        <w:t>进行</w:t>
      </w:r>
      <w:r>
        <w:rPr>
          <w:rFonts w:hint="eastAsia" w:ascii="仿宋_GB2312" w:eastAsia="仿宋_GB2312"/>
        </w:rPr>
        <w:t>审查。土地成交后，用地单位取得《土地交接确认书》或《储备项目出库单》，即可申请施工图提前介入开展技术审查，先行进场开展土地平整、搭建围挡和施工暂设等。</w:t>
      </w:r>
      <w:r>
        <w:rPr>
          <w:rFonts w:hint="eastAsia" w:ascii="仿宋_GB2312" w:hAnsi="仿宋_GB2312" w:eastAsia="仿宋_GB2312" w:cs="仿宋_GB2312"/>
        </w:rPr>
        <w:t>依据</w:t>
      </w:r>
      <w:r>
        <w:rPr>
          <w:rFonts w:hint="eastAsia" w:ascii="仿宋_GB2312" w:hAnsi="仿宋_GB2312" w:eastAsia="仿宋_GB2312" w:cs="仿宋_GB2312"/>
          <w:lang w:eastAsia="zh-CN"/>
        </w:rPr>
        <w:t>建设</w:t>
      </w:r>
      <w:r>
        <w:rPr>
          <w:rFonts w:hint="eastAsia" w:ascii="仿宋_GB2312" w:hAnsi="仿宋_GB2312" w:eastAsia="仿宋_GB2312" w:cs="仿宋_GB2312"/>
        </w:rPr>
        <w:t>单位申请，可为项目分阶段核发施工许可，市、区两级</w:t>
      </w:r>
      <w:r>
        <w:rPr>
          <w:rFonts w:hint="eastAsia" w:ascii="仿宋_GB2312" w:hAnsi="仿宋_GB2312" w:eastAsia="仿宋_GB2312" w:cs="仿宋_GB2312"/>
          <w:lang w:eastAsia="zh-CN"/>
        </w:rPr>
        <w:t>资源规划</w:t>
      </w:r>
      <w:r>
        <w:rPr>
          <w:rFonts w:hint="eastAsia" w:ascii="仿宋_GB2312" w:hAnsi="仿宋_GB2312" w:eastAsia="仿宋_GB2312" w:cs="仿宋_GB2312"/>
        </w:rPr>
        <w:t>部门、住建部门须提前介入监督指导，做好质量安全监督和服务，</w:t>
      </w:r>
      <w:r>
        <w:rPr>
          <w:rFonts w:hint="eastAsia" w:ascii="仿宋_GB2312" w:eastAsia="仿宋_GB2312"/>
        </w:rPr>
        <w:t>属地综合执法部门对此</w:t>
      </w:r>
      <w:r>
        <w:rPr>
          <w:rFonts w:hint="eastAsia" w:ascii="仿宋_GB2312" w:eastAsia="仿宋_GB2312"/>
          <w:lang w:eastAsia="zh-CN"/>
        </w:rPr>
        <w:t>给予</w:t>
      </w:r>
      <w:r>
        <w:rPr>
          <w:rFonts w:hint="eastAsia" w:ascii="仿宋_GB2312" w:eastAsia="仿宋_GB2312"/>
        </w:rPr>
        <w:t>大力支持。</w:t>
      </w:r>
      <w:r>
        <w:rPr>
          <w:rFonts w:hint="eastAsia" w:ascii="仿宋_GB2312" w:hAnsi="仿宋_GB2312" w:eastAsia="仿宋_GB2312" w:cs="仿宋_GB2312"/>
        </w:rPr>
        <w:t>涉及办公、工业、仓储物流等项目可参照执行。（牵头单位：市</w:t>
      </w:r>
      <w:r>
        <w:rPr>
          <w:rFonts w:hint="eastAsia" w:ascii="仿宋_GB2312" w:hAnsi="仿宋_GB2312" w:eastAsia="仿宋_GB2312" w:cs="仿宋_GB2312"/>
          <w:lang w:eastAsia="zh-CN"/>
        </w:rPr>
        <w:t>资源规划</w:t>
      </w:r>
      <w:r>
        <w:rPr>
          <w:rFonts w:hint="eastAsia" w:ascii="仿宋_GB2312" w:hAnsi="仿宋_GB2312" w:eastAsia="仿宋_GB2312" w:cs="仿宋_GB2312"/>
        </w:rPr>
        <w:t>局、市住建局，责任单位：市城管局、各区政府）</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（十六）</w:t>
      </w:r>
      <w:r>
        <w:rPr>
          <w:rFonts w:hint="eastAsia"/>
        </w:rPr>
        <w:t>鼓励地下空间开发利用，降低企业开发投资成本</w:t>
      </w:r>
    </w:p>
    <w:p>
      <w:pPr>
        <w:keepNext w:val="0"/>
        <w:keepLines w:val="0"/>
        <w:pageBreakBefore w:val="0"/>
        <w:widowControl w:val="0"/>
        <w:kinsoku/>
        <w:wordWrap/>
        <w:overflowPunct/>
        <w:topLinePunct w:val="0"/>
        <w:autoSpaceDE/>
        <w:autoSpaceDN/>
        <w:bidi w:val="0"/>
        <w:snapToGrid/>
        <w:spacing w:line="240" w:lineRule="auto"/>
        <w:ind w:firstLine="640"/>
        <w:rPr>
          <w:rFonts w:ascii="楷体" w:hAnsi="楷体" w:eastAsia="楷体"/>
        </w:rPr>
      </w:pPr>
      <w:r>
        <w:rPr>
          <w:rFonts w:hint="eastAsia"/>
        </w:rPr>
        <w:t>对在2022年7月1日（含）以后取得土地使用权的房地产开发项目，使用地上、地下空间进行结建式开发建设，尚未履行《建设工程规划许可证》阶段重新核准土地出让金程序的，在核收地下空间土地出让价款时，地下负一层出让金按同地段地上一层相对应用途评估地价的10％核定，地下负二层出让金按同地段地上一层相对应用途评估地价的5％核定，地下负三层及以下不予核收。对单独使用地下空间进行开发建设的商业、办公，或工业、仓储物流等项目可参照执行。（牵头单位：市</w:t>
      </w:r>
      <w:r>
        <w:rPr>
          <w:rFonts w:hint="eastAsia"/>
          <w:lang w:eastAsia="zh-CN"/>
        </w:rPr>
        <w:t>资源规划</w:t>
      </w:r>
      <w:r>
        <w:rPr>
          <w:rFonts w:hint="eastAsia"/>
        </w:rPr>
        <w:t>局）</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（十七）</w:t>
      </w:r>
      <w:r>
        <w:rPr>
          <w:rFonts w:hint="eastAsia"/>
        </w:rPr>
        <w:t>科学调整商业商务配比，有效推进去库存工作</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1.对已取得土地使用权，但尚未完成规划核实的商住、商业类用地，在符合《规划条件》确定的规划用地性质和容积率等指标、并经论证可满足“同等生活圈内配比商业商务”要求的前提下，根据市场需求和客观实际，允许用地单位申请适当调整居住公建比例或商业单一用途调整为兼容其他商业用途。</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2.对出让公告明确约定或招商引资企业先行承诺商住比例、享受综合地价优惠及其他有关扶持政策的产业项目，居住公建比例或商业用途原则上不予调整，如确需调整的，经属地区政府报请市政府同意后，可适当向下调整居住公建比例；对未享受综合地价优惠，且已完成《产业监管协议》或《招商引资协议》约定的招商数量、投资额度、税收标准和就业人数等</w:t>
      </w:r>
      <w:r>
        <w:rPr>
          <w:rFonts w:hint="eastAsia"/>
          <w:lang w:eastAsia="zh-CN"/>
        </w:rPr>
        <w:t>产业</w:t>
      </w:r>
      <w:r>
        <w:rPr>
          <w:rFonts w:hint="eastAsia"/>
        </w:rPr>
        <w:t>项目，由属地区政府先行验收或认定履约情况并报请市政府批准后，可适当向下调整居住公建比例。上述两类产业项目调整居住公建比例，原则不得低于原居住公建比例的50%。</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3.对符合</w:t>
      </w:r>
      <w:r>
        <w:rPr>
          <w:rFonts w:hint="eastAsia"/>
          <w:lang w:eastAsia="zh-CN"/>
        </w:rPr>
        <w:t>本项</w:t>
      </w:r>
      <w:r>
        <w:rPr>
          <w:rFonts w:hint="eastAsia"/>
        </w:rPr>
        <w:t>第1、2款条件</w:t>
      </w:r>
      <w:r>
        <w:rPr>
          <w:rFonts w:hint="eastAsia"/>
          <w:lang w:eastAsia="zh-CN"/>
        </w:rPr>
        <w:t>的，</w:t>
      </w:r>
      <w:r>
        <w:rPr>
          <w:rFonts w:hint="eastAsia"/>
        </w:rPr>
        <w:t>申请调整规划时间截至2024年12月31日前，调整后房屋用途须符合规划设计、消防、质量和安全等相关要求，不得改变宗地主要规划用地性质和增加容积率。涉及调整《规划条件》的，用地单位需征得宗地内厉害关系人同意后，按照规定履行规划调整程序，重新核发《规划条件》《规划用地许可证》《建设工程规划许可证》，签订《国有建设用地使用权出让合同（合同补充条款）》，其中导致宗地出让价款减少的不予退返。（牵头单位：市</w:t>
      </w:r>
      <w:r>
        <w:rPr>
          <w:rFonts w:hint="eastAsia"/>
          <w:lang w:eastAsia="zh-CN"/>
        </w:rPr>
        <w:t>资源规划</w:t>
      </w:r>
      <w:r>
        <w:rPr>
          <w:rFonts w:hint="eastAsia"/>
        </w:rPr>
        <w:t>局，责任单位：各区政府）</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（十八）</w:t>
      </w:r>
      <w:r>
        <w:rPr>
          <w:rFonts w:hint="eastAsia"/>
        </w:rPr>
        <w:t>合理调整开竣工时间，妥善解决企业违约问题</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1.</w:t>
      </w:r>
      <w:r>
        <w:rPr>
          <w:rFonts w:hint="eastAsia"/>
          <w:lang w:eastAsia="zh-CN"/>
        </w:rPr>
        <w:t>对</w:t>
      </w:r>
      <w:r>
        <w:rPr>
          <w:rFonts w:hint="eastAsia"/>
        </w:rPr>
        <w:t>因新冠疫情</w:t>
      </w:r>
      <w:r>
        <w:rPr>
          <w:rFonts w:hint="eastAsia"/>
          <w:lang w:eastAsia="zh-CN"/>
        </w:rPr>
        <w:t>等</w:t>
      </w:r>
      <w:r>
        <w:rPr>
          <w:rFonts w:hint="eastAsia"/>
        </w:rPr>
        <w:t>不可抗力因素</w:t>
      </w:r>
      <w:r>
        <w:rPr>
          <w:rFonts w:hint="eastAsia"/>
          <w:lang w:eastAsia="zh-CN"/>
        </w:rPr>
        <w:t>影响和</w:t>
      </w:r>
      <w:r>
        <w:rPr>
          <w:rFonts w:hint="eastAsia"/>
        </w:rPr>
        <w:t>北方城市施工期短客观实际，自我省启动突发公共卫生事件一级响应机制时间，即约定开工时间在2020年1月25日之前，且不满一年、未达到土地闲置条件的</w:t>
      </w:r>
      <w:r>
        <w:rPr>
          <w:rFonts w:hint="eastAsia"/>
          <w:lang w:eastAsia="zh-CN"/>
        </w:rPr>
        <w:t>房地产项目</w:t>
      </w:r>
      <w:r>
        <w:rPr>
          <w:rFonts w:hint="eastAsia"/>
        </w:rPr>
        <w:t>，或约定开工时间在2020年1月25日（含）之后及约定竣工时间在2020年1月25日（含）之后的</w:t>
      </w:r>
      <w:r>
        <w:rPr>
          <w:rFonts w:hint="eastAsia"/>
          <w:lang w:eastAsia="zh-CN"/>
        </w:rPr>
        <w:t>房地产项目</w:t>
      </w:r>
      <w:r>
        <w:rPr>
          <w:rFonts w:hint="eastAsia"/>
        </w:rPr>
        <w:t>，疫情期间及后疫情影响期可不计入开、竣工违约，开工时间可调整至2024年6月30日前、竣工时间可相应顺延三年。</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2.《国有建设用地使用权出让合同》约定的开工时间在2020年1月25日之前满一年以上、已达到土地闲置条件的，以及竣工时间经顺延至2027年6月30日前、项目仍未实际竣工的，按《闲置土地处置办法》有关规定和《国有建设用地使用权出让合同》约定条款办理。</w:t>
      </w:r>
    </w:p>
    <w:p>
      <w:pPr>
        <w:keepNext w:val="0"/>
        <w:keepLines w:val="0"/>
        <w:pageBreakBefore w:val="0"/>
        <w:widowControl w:val="0"/>
        <w:kinsoku/>
        <w:wordWrap/>
        <w:overflowPunct/>
        <w:topLinePunct w:val="0"/>
        <w:autoSpaceDE/>
        <w:autoSpaceDN/>
        <w:bidi w:val="0"/>
        <w:snapToGrid/>
        <w:spacing w:line="240" w:lineRule="auto"/>
        <w:ind w:firstLine="672"/>
        <w:rPr>
          <w:rFonts w:hAnsi="Arial" w:cs="Arial"/>
          <w:spacing w:val="8"/>
          <w:kern w:val="0"/>
        </w:rPr>
      </w:pPr>
      <w:r>
        <w:rPr>
          <w:rFonts w:hint="eastAsia" w:hAnsi="Arial" w:cs="Arial"/>
          <w:spacing w:val="8"/>
          <w:kern w:val="0"/>
        </w:rPr>
        <w:t>该条款政策支持时间截至2024年12月31日前，逾期未申请调整开、竣工时间的，严格按照</w:t>
      </w:r>
      <w:r>
        <w:rPr>
          <w:rFonts w:hint="eastAsia"/>
        </w:rPr>
        <w:t>《闲置土地处置办法》有关规定执行。</w:t>
      </w:r>
      <w:r>
        <w:rPr>
          <w:rFonts w:hint="eastAsia" w:hAnsi="Arial" w:cs="Arial"/>
          <w:spacing w:val="8"/>
          <w:kern w:val="0"/>
        </w:rPr>
        <w:t>涉及办公、工业、仓储物流等项目可参照执行。</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（牵头单位：市</w:t>
      </w:r>
      <w:r>
        <w:rPr>
          <w:rFonts w:hint="eastAsia"/>
          <w:lang w:eastAsia="zh-CN"/>
        </w:rPr>
        <w:t>资源规划</w:t>
      </w:r>
      <w:r>
        <w:rPr>
          <w:rFonts w:hint="eastAsia"/>
        </w:rPr>
        <w:t>局，责任单位：各区政府）</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（十九）</w:t>
      </w:r>
      <w:r>
        <w:rPr>
          <w:rFonts w:hint="eastAsia"/>
        </w:rPr>
        <w:t>调整合同备案管理政策</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对9区的房地产开发项目，已完成商品房买卖合同网签备案的新建商品房，经交易双方当事人协商一致同意解除或终止合同履行的，不再限制撤销合同备案的次数</w:t>
      </w:r>
      <w:r>
        <w:rPr>
          <w:rFonts w:hint="eastAsia"/>
          <w:lang w:eastAsia="zh-CN"/>
        </w:rPr>
        <w:t>和</w:t>
      </w:r>
      <w:r>
        <w:rPr>
          <w:rFonts w:hint="eastAsia"/>
        </w:rPr>
        <w:t>比例，由买卖双方到场进行确认，履行撤销备案程序，具体流程由合同网签备案管理部门制定。已撤销合同备案的房源应</w:t>
      </w:r>
      <w:r>
        <w:rPr>
          <w:rFonts w:hint="eastAsia"/>
          <w:lang w:eastAsia="zh-CN"/>
        </w:rPr>
        <w:t>当</w:t>
      </w:r>
      <w:r>
        <w:rPr>
          <w:rFonts w:hint="eastAsia"/>
        </w:rPr>
        <w:t>公开对外销售。（牵头单位：市住建局，责任单位：各区政府）</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（二十）</w:t>
      </w:r>
      <w:r>
        <w:rPr>
          <w:rFonts w:hint="eastAsia"/>
        </w:rPr>
        <w:t>完善居住区公益性服务设施移交工作</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统一配建的居住区公益性服务设施按照</w:t>
      </w:r>
      <w:r>
        <w:rPr>
          <w:rFonts w:hint="eastAsia"/>
          <w:lang w:eastAsia="zh-CN"/>
        </w:rPr>
        <w:t>已</w:t>
      </w:r>
      <w:r>
        <w:rPr>
          <w:rFonts w:hint="eastAsia"/>
        </w:rPr>
        <w:t>规划和相关设施建设标准完成的，在开发项目竣工验收备案前，由开发建设单位与区政府及相关部门按</w:t>
      </w:r>
      <w:r>
        <w:rPr>
          <w:rFonts w:hint="eastAsia"/>
          <w:lang w:eastAsia="zh-CN"/>
        </w:rPr>
        <w:t>照</w:t>
      </w:r>
      <w:r>
        <w:rPr>
          <w:rFonts w:hint="eastAsia"/>
        </w:rPr>
        <w:t>现状办理移交手续，区政府及相关部门应当在15个工作日内完成对居住区公益性服务设施的接收</w:t>
      </w:r>
      <w:r>
        <w:rPr>
          <w:rFonts w:hint="eastAsia"/>
          <w:lang w:eastAsia="zh-CN"/>
        </w:rPr>
        <w:t>，并</w:t>
      </w:r>
      <w:r>
        <w:rPr>
          <w:rFonts w:hint="eastAsia"/>
        </w:rPr>
        <w:t>按照有关规定合理分配使用。（牵头单位：各区政府，责任单位：市公安局、市城管局、市民政局、市卫健委）</w:t>
      </w:r>
    </w:p>
    <w:p>
      <w:pPr>
        <w:pStyle w:val="17"/>
        <w:keepNext w:val="0"/>
        <w:keepLines w:val="0"/>
        <w:pageBreakBefore w:val="0"/>
        <w:widowControl w:val="0"/>
        <w:numPr>
          <w:ilvl w:val="0"/>
          <w:numId w:val="0"/>
        </w:numPr>
        <w:kinsoku/>
        <w:wordWrap/>
        <w:overflowPunct/>
        <w:topLinePunct w:val="0"/>
        <w:autoSpaceDE/>
        <w:autoSpaceDN/>
        <w:bidi w:val="0"/>
        <w:snapToGrid/>
        <w:spacing w:line="240" w:lineRule="auto"/>
        <w:ind w:leftChars="200"/>
      </w:pPr>
      <w:r>
        <w:rPr>
          <w:rFonts w:hint="eastAsia"/>
          <w:lang w:eastAsia="zh-CN"/>
        </w:rPr>
        <w:t>（二十一）</w:t>
      </w:r>
      <w:r>
        <w:rPr>
          <w:rFonts w:hint="eastAsia"/>
        </w:rPr>
        <w:t>加大金融对房地产行业支持力度</w:t>
      </w:r>
    </w:p>
    <w:p>
      <w:pPr>
        <w:keepNext w:val="0"/>
        <w:keepLines w:val="0"/>
        <w:pageBreakBefore w:val="0"/>
        <w:widowControl w:val="0"/>
        <w:kinsoku/>
        <w:wordWrap/>
        <w:overflowPunct/>
        <w:topLinePunct w:val="0"/>
        <w:autoSpaceDE/>
        <w:autoSpaceDN/>
        <w:bidi w:val="0"/>
        <w:snapToGrid/>
        <w:spacing w:line="240" w:lineRule="auto"/>
        <w:ind w:firstLine="640"/>
      </w:pPr>
      <w:r>
        <w:rPr>
          <w:rFonts w:hint="eastAsia"/>
        </w:rPr>
        <w:t>建立城市房地产融资协调机制，精准支持房地产项目合理融资需</w:t>
      </w:r>
      <w:r>
        <w:rPr>
          <w:rFonts w:hint="eastAsia" w:hAnsi="宋体" w:cs="宋体"/>
        </w:rPr>
        <w:t>求。</w:t>
      </w:r>
      <w:r>
        <w:rPr>
          <w:rFonts w:hint="eastAsia"/>
        </w:rPr>
        <w:t>鼓励</w:t>
      </w:r>
      <w:r>
        <w:rPr>
          <w:rFonts w:hint="eastAsia" w:hAnsi="宋体" w:cs="宋体"/>
        </w:rPr>
        <w:t>国有大型银行和全国股份制商业银行</w:t>
      </w:r>
      <w:r>
        <w:rPr>
          <w:rFonts w:hint="eastAsia"/>
        </w:rPr>
        <w:t>积极向总行争取房地产领域信贷投放规模，加大对我市房地产领域信贷投放。推动符合条件的项目与保险机构的资产管理公司对接，积极争取保险资金加大在我市的直接投资。组织线上、线下等多种形式的银企对接活动</w:t>
      </w:r>
      <w:r>
        <w:rPr>
          <w:rFonts w:hint="eastAsia"/>
          <w:lang w:eastAsia="zh-CN"/>
        </w:rPr>
        <w:t>，</w:t>
      </w:r>
      <w:r>
        <w:rPr>
          <w:rFonts w:hint="eastAsia"/>
        </w:rPr>
        <w:t>帮助企业制定融资方案，</w:t>
      </w:r>
      <w:r>
        <w:rPr>
          <w:rFonts w:hint="eastAsia"/>
          <w:lang w:eastAsia="zh-CN"/>
        </w:rPr>
        <w:t>并</w:t>
      </w:r>
      <w:r>
        <w:rPr>
          <w:rFonts w:hint="eastAsia"/>
        </w:rPr>
        <w:t>给予相应支持。（牵头单位：市金融局，责任单位：市住建局、人民银行黑龙江省分行、金融监管总局黑龙江监管局）</w:t>
      </w:r>
    </w:p>
    <w:p>
      <w:pPr>
        <w:keepNext w:val="0"/>
        <w:keepLines w:val="0"/>
        <w:pageBreakBefore w:val="0"/>
        <w:widowControl w:val="0"/>
        <w:kinsoku/>
        <w:wordWrap/>
        <w:overflowPunct/>
        <w:topLinePunct w:val="0"/>
        <w:autoSpaceDE/>
        <w:autoSpaceDN/>
        <w:bidi w:val="0"/>
        <w:snapToGrid/>
        <w:spacing w:line="240" w:lineRule="auto"/>
        <w:ind w:firstLine="640"/>
        <w:rPr>
          <w:rFonts w:hint="eastAsia"/>
        </w:rPr>
      </w:pPr>
      <w:r>
        <w:rPr>
          <w:rFonts w:hint="eastAsia"/>
        </w:rPr>
        <w:t>本《措施》自印发之日起施行，除已规定有效期限的条款外，其余条款有效期5年</w:t>
      </w:r>
      <w:r>
        <w:rPr>
          <w:rFonts w:hint="eastAsia"/>
          <w:lang w:eastAsia="zh-CN"/>
        </w:rPr>
        <w:t>，</w:t>
      </w:r>
      <w:r>
        <w:rPr>
          <w:rFonts w:hint="eastAsia" w:hAnsi="仿宋"/>
          <w:szCs w:val="32"/>
        </w:rPr>
        <w:t>如遇法律</w:t>
      </w:r>
      <w:r>
        <w:rPr>
          <w:rFonts w:hint="eastAsia" w:hAnsi="仿宋"/>
          <w:szCs w:val="32"/>
          <w:lang w:eastAsia="zh-CN"/>
        </w:rPr>
        <w:t>法规</w:t>
      </w:r>
      <w:r>
        <w:rPr>
          <w:rFonts w:hint="eastAsia" w:hAnsi="仿宋"/>
          <w:szCs w:val="32"/>
        </w:rPr>
        <w:t>及政策调整</w:t>
      </w:r>
      <w:r>
        <w:rPr>
          <w:rFonts w:hint="eastAsia" w:hAnsi="仿宋"/>
          <w:szCs w:val="32"/>
          <w:lang w:eastAsia="zh-CN"/>
        </w:rPr>
        <w:t>的</w:t>
      </w:r>
      <w:r>
        <w:rPr>
          <w:rFonts w:hint="eastAsia" w:hAnsi="仿宋"/>
          <w:szCs w:val="32"/>
        </w:rPr>
        <w:t>，</w:t>
      </w:r>
      <w:r>
        <w:rPr>
          <w:rFonts w:hint="eastAsia" w:hAnsi="仿宋"/>
          <w:szCs w:val="32"/>
          <w:lang w:eastAsia="zh-CN"/>
        </w:rPr>
        <w:t>按照新</w:t>
      </w:r>
      <w:r>
        <w:rPr>
          <w:rFonts w:hint="eastAsia" w:hAnsi="仿宋"/>
          <w:szCs w:val="32"/>
        </w:rPr>
        <w:t>规定</w:t>
      </w:r>
      <w:r>
        <w:rPr>
          <w:rFonts w:hint="eastAsia" w:hAnsi="仿宋"/>
          <w:szCs w:val="32"/>
          <w:lang w:eastAsia="zh-CN"/>
        </w:rPr>
        <w:t>执行</w:t>
      </w:r>
      <w:r>
        <w:rPr>
          <w:rFonts w:hint="eastAsia" w:hAnsi="仿宋"/>
          <w:szCs w:val="32"/>
        </w:rPr>
        <w:t>。</w:t>
      </w:r>
      <w:r>
        <w:rPr>
          <w:rFonts w:hint="eastAsia"/>
        </w:rPr>
        <w:t>各县（市）可参照执行，补贴资金由各县（市）自行承担。本《措施》实施细则另行制定。</w:t>
      </w: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0" w:footer="1644" w:gutter="0"/>
          <w:pgNumType w:fmt="decimal"/>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rPr>
          <w:rFonts w:hint="eastAsia"/>
          <w:sz w:val="28"/>
          <w:szCs w:val="28"/>
          <w:lang w:val="en-US" w:eastAsia="zh-CN"/>
        </w:rPr>
      </w:pPr>
    </w:p>
    <w:p>
      <w:pPr>
        <w:keepNext w:val="0"/>
        <w:keepLines w:val="0"/>
        <w:pageBreakBefore w:val="0"/>
        <w:widowControl w:val="0"/>
        <w:pBdr>
          <w:top w:val="single" w:color="auto" w:sz="12" w:space="1"/>
          <w:bottom w:val="single" w:color="auto" w:sz="6" w:space="1"/>
        </w:pBdr>
        <w:kinsoku/>
        <w:wordWrap/>
        <w:overflowPunct/>
        <w:topLinePunct w:val="0"/>
        <w:autoSpaceDE/>
        <w:autoSpaceDN/>
        <w:bidi w:val="0"/>
        <w:adjustRightInd/>
        <w:snapToGrid/>
        <w:spacing w:line="240" w:lineRule="auto"/>
        <w:ind w:firstLine="276" w:firstLineChars="100"/>
        <w:rPr>
          <w:color w:val="auto"/>
          <w:sz w:val="28"/>
          <w:szCs w:val="28"/>
          <w:highlight w:val="none"/>
        </w:rPr>
      </w:pPr>
      <w:r>
        <w:rPr>
          <w:rFonts w:hint="eastAsia"/>
          <w:color w:val="auto"/>
          <w:sz w:val="28"/>
          <w:szCs w:val="28"/>
          <w:highlight w:val="none"/>
        </w:rPr>
        <w:t>抄送：市委办公厅，市纪委</w:t>
      </w:r>
      <w:r>
        <w:rPr>
          <w:rFonts w:hint="eastAsia"/>
          <w:color w:val="auto"/>
          <w:sz w:val="28"/>
          <w:szCs w:val="28"/>
          <w:highlight w:val="none"/>
          <w:lang w:eastAsia="zh-CN"/>
        </w:rPr>
        <w:t>监委</w:t>
      </w:r>
      <w:r>
        <w:rPr>
          <w:rFonts w:hint="eastAsia"/>
          <w:color w:val="auto"/>
          <w:sz w:val="28"/>
          <w:szCs w:val="28"/>
          <w:highlight w:val="none"/>
        </w:rPr>
        <w:t>办公厅，市委直属各单位。</w:t>
      </w:r>
    </w:p>
    <w:p>
      <w:pPr>
        <w:keepNext w:val="0"/>
        <w:keepLines w:val="0"/>
        <w:pageBreakBefore w:val="0"/>
        <w:widowControl w:val="0"/>
        <w:pBdr>
          <w:top w:val="single" w:color="auto" w:sz="12" w:space="1"/>
          <w:bottom w:val="single" w:color="auto" w:sz="6" w:space="1"/>
        </w:pBdr>
        <w:kinsoku/>
        <w:wordWrap/>
        <w:overflowPunct/>
        <w:topLinePunct w:val="0"/>
        <w:autoSpaceDE/>
        <w:autoSpaceDN/>
        <w:bidi w:val="0"/>
        <w:adjustRightInd/>
        <w:snapToGrid/>
        <w:spacing w:line="240" w:lineRule="auto"/>
        <w:ind w:firstLine="1102" w:firstLineChars="399"/>
        <w:rPr>
          <w:color w:val="auto"/>
          <w:sz w:val="28"/>
          <w:szCs w:val="28"/>
          <w:highlight w:val="none"/>
        </w:rPr>
      </w:pPr>
      <w:r>
        <w:rPr>
          <w:rFonts w:hint="eastAsia"/>
          <w:color w:val="auto"/>
          <w:sz w:val="28"/>
          <w:szCs w:val="28"/>
          <w:highlight w:val="none"/>
        </w:rPr>
        <w:t>市人大常委会办公厅，市政协办公厅，市法院，市检察院。</w:t>
      </w:r>
    </w:p>
    <w:p>
      <w:pPr>
        <w:keepNext w:val="0"/>
        <w:keepLines w:val="0"/>
        <w:pageBreakBefore w:val="0"/>
        <w:widowControl w:val="0"/>
        <w:pBdr>
          <w:bottom w:val="single" w:color="auto" w:sz="12" w:space="1"/>
        </w:pBdr>
        <w:kinsoku/>
        <w:wordWrap/>
        <w:overflowPunct/>
        <w:topLinePunct w:val="0"/>
        <w:autoSpaceDE/>
        <w:autoSpaceDN/>
        <w:bidi w:val="0"/>
        <w:adjustRightInd/>
        <w:snapToGrid/>
        <w:spacing w:line="240" w:lineRule="auto"/>
        <w:ind w:left="0" w:leftChars="0" w:firstLine="276" w:firstLineChars="100"/>
        <w:jc w:val="both"/>
        <w:textAlignment w:val="auto"/>
        <w:rPr>
          <w:rFonts w:hint="eastAsia"/>
          <w:sz w:val="28"/>
          <w:szCs w:val="28"/>
          <w:lang w:val="en-US" w:eastAsia="zh-CN"/>
        </w:rPr>
      </w:pPr>
      <w:r>
        <w:rPr>
          <w:rFonts w:hint="eastAsia"/>
          <w:color w:val="auto"/>
          <w:sz w:val="28"/>
          <w:szCs w:val="28"/>
          <w:highlight w:val="none"/>
        </w:rPr>
        <w:t>哈尔滨市人民政府办公厅</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ascii="仿宋_GB2312" w:hAnsi="仿宋_GB2312" w:cs="仿宋_GB2312"/>
          <w:color w:val="auto"/>
          <w:sz w:val="28"/>
          <w:szCs w:val="28"/>
          <w:highlight w:val="none"/>
          <w:lang w:val="en-US" w:eastAsia="zh-CN"/>
        </w:rPr>
        <w:t>202</w:t>
      </w:r>
      <w:r>
        <w:rPr>
          <w:rFonts w:hint="eastAsia" w:hAnsi="仿宋_GB2312" w:cs="仿宋_GB2312"/>
          <w:color w:val="auto"/>
          <w:sz w:val="28"/>
          <w:szCs w:val="28"/>
          <w:highlight w:val="none"/>
          <w:lang w:val="en-US" w:eastAsia="zh-CN"/>
        </w:rPr>
        <w:t>4</w:t>
      </w:r>
      <w:r>
        <w:rPr>
          <w:rFonts w:hint="eastAsia" w:ascii="仿宋_GB2312" w:hAnsi="仿宋_GB2312" w:cs="仿宋_GB2312"/>
          <w:color w:val="auto"/>
          <w:sz w:val="28"/>
          <w:szCs w:val="28"/>
          <w:highlight w:val="none"/>
        </w:rPr>
        <w:t>年</w:t>
      </w:r>
      <w:r>
        <w:rPr>
          <w:rFonts w:hint="eastAsia" w:hAnsi="仿宋_GB2312" w:cs="仿宋_GB2312"/>
          <w:color w:val="auto"/>
          <w:sz w:val="28"/>
          <w:szCs w:val="28"/>
          <w:highlight w:val="none"/>
          <w:lang w:val="en-US" w:eastAsia="zh-CN"/>
        </w:rPr>
        <w:t>3</w:t>
      </w:r>
      <w:r>
        <w:rPr>
          <w:rFonts w:hint="eastAsia" w:ascii="仿宋_GB2312" w:hAnsi="仿宋_GB2312" w:cs="仿宋_GB2312"/>
          <w:color w:val="auto"/>
          <w:sz w:val="28"/>
          <w:szCs w:val="28"/>
          <w:highlight w:val="none"/>
        </w:rPr>
        <w:t>月</w:t>
      </w:r>
      <w:r>
        <w:rPr>
          <w:rFonts w:hint="eastAsia" w:hAnsi="仿宋_GB2312" w:cs="仿宋_GB2312"/>
          <w:color w:val="auto"/>
          <w:sz w:val="28"/>
          <w:szCs w:val="28"/>
          <w:highlight w:val="none"/>
          <w:lang w:val="en-US" w:eastAsia="zh-CN"/>
        </w:rPr>
        <w:t>28</w:t>
      </w:r>
      <w:r>
        <w:rPr>
          <w:rFonts w:hint="eastAsia" w:ascii="仿宋_GB2312" w:hAnsi="仿宋_GB2312" w:cs="仿宋_GB2312"/>
          <w:color w:val="auto"/>
          <w:sz w:val="28"/>
          <w:szCs w:val="28"/>
          <w:highlight w:val="none"/>
        </w:rPr>
        <w:t>日印发</w:t>
      </w:r>
    </w:p>
    <w:sectPr>
      <w:footerReference r:id="rId11" w:type="default"/>
      <w:pgSz w:w="11906" w:h="16838"/>
      <w:pgMar w:top="2098" w:right="1474" w:bottom="1984" w:left="1588" w:header="850" w:footer="1644" w:gutter="0"/>
      <w:pgNumType w:fmt="decimal"/>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right="360" w:firstLine="0" w:firstLineChars="0"/>
      <w:rPr>
        <w:rFonts w:ascii="Calibri"/>
        <w:lang w:val="e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spacing w:line="240" w:lineRule="auto"/>
                            <w:ind w:left="320" w:leftChars="100" w:right="320" w:rightChars="100" w:firstLine="0" w:firstLineChars="0"/>
                            <w:rPr>
                              <w:rStyle w:val="11"/>
                              <w:rFonts w:hint="eastAsia" w:ascii="宋体" w:hAnsi="宋体" w:eastAsia="宋体" w:cstheme="minorBidi"/>
                              <w:sz w:val="28"/>
                              <w:szCs w:val="28"/>
                              <w:lang w:val="en" w:eastAsia="zh-CN"/>
                            </w:rPr>
                          </w:pPr>
                          <w:r>
                            <w:rPr>
                              <w:rStyle w:val="11"/>
                              <w:rFonts w:hint="eastAsia" w:ascii="宋体" w:hAnsi="宋体" w:eastAsia="宋体" w:cstheme="minorBidi"/>
                              <w:sz w:val="28"/>
                              <w:szCs w:val="28"/>
                              <w:lang w:val="en" w:eastAsia="zh-CN"/>
                            </w:rPr>
                            <w:t>—</w:t>
                          </w:r>
                          <w:r>
                            <w:rPr>
                              <w:rStyle w:val="11"/>
                              <w:rFonts w:hint="eastAsia" w:ascii="宋体" w:hAnsi="宋体" w:eastAsia="宋体" w:cstheme="minorBidi"/>
                              <w:sz w:val="28"/>
                              <w:szCs w:val="28"/>
                              <w:lang w:val="en-US" w:eastAsia="zh-CN"/>
                            </w:rPr>
                            <w:t xml:space="preserve"> </w:t>
                          </w:r>
                          <w:r>
                            <w:rPr>
                              <w:rStyle w:val="11"/>
                              <w:rFonts w:ascii="宋体" w:hAnsi="宋体" w:eastAsia="宋体" w:cstheme="minorBidi"/>
                              <w:sz w:val="28"/>
                              <w:szCs w:val="28"/>
                              <w:lang w:val="en"/>
                            </w:rPr>
                            <w:fldChar w:fldCharType="begin"/>
                          </w:r>
                          <w:r>
                            <w:rPr>
                              <w:rStyle w:val="11"/>
                              <w:rFonts w:ascii="宋体" w:hAnsi="宋体" w:eastAsia="宋体" w:cstheme="minorBidi"/>
                              <w:sz w:val="28"/>
                              <w:szCs w:val="28"/>
                              <w:lang w:val="en"/>
                            </w:rPr>
                            <w:instrText xml:space="preserve"> PAGE  \* MERGEFORMAT </w:instrText>
                          </w:r>
                          <w:r>
                            <w:rPr>
                              <w:rStyle w:val="11"/>
                              <w:rFonts w:ascii="宋体" w:hAnsi="宋体" w:eastAsia="宋体" w:cstheme="minorBidi"/>
                              <w:sz w:val="28"/>
                              <w:szCs w:val="28"/>
                              <w:lang w:val="en"/>
                            </w:rPr>
                            <w:fldChar w:fldCharType="separate"/>
                          </w:r>
                          <w:r>
                            <w:rPr>
                              <w:rStyle w:val="11"/>
                              <w:rFonts w:ascii="宋体" w:hAnsi="宋体" w:eastAsia="宋体" w:cstheme="minorBidi"/>
                              <w:sz w:val="28"/>
                              <w:szCs w:val="28"/>
                              <w:lang w:val="en"/>
                            </w:rPr>
                            <w:t>1</w:t>
                          </w:r>
                          <w:r>
                            <w:rPr>
                              <w:rStyle w:val="11"/>
                              <w:rFonts w:ascii="宋体" w:hAnsi="宋体" w:eastAsia="宋体" w:cstheme="minorBidi"/>
                              <w:sz w:val="28"/>
                              <w:szCs w:val="28"/>
                              <w:lang w:val="en"/>
                            </w:rPr>
                            <w:fldChar w:fldCharType="end"/>
                          </w:r>
                          <w:r>
                            <w:rPr>
                              <w:rStyle w:val="11"/>
                              <w:rFonts w:hint="eastAsia" w:ascii="宋体" w:hAnsi="宋体" w:eastAsia="宋体" w:cstheme="minorBidi"/>
                              <w:sz w:val="28"/>
                              <w:szCs w:val="28"/>
                              <w:lang w:val="en-US" w:eastAsia="zh-CN"/>
                            </w:rPr>
                            <w:t xml:space="preserve"> </w:t>
                          </w:r>
                          <w:r>
                            <w:rPr>
                              <w:rStyle w:val="11"/>
                              <w:rFonts w:hint="eastAsia" w:ascii="宋体" w:hAnsi="宋体" w:eastAsia="宋体" w:cstheme="minorBidi"/>
                              <w:sz w:val="28"/>
                              <w:szCs w:val="28"/>
                              <w:lang w:val="en"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spacing w:line="240" w:lineRule="auto"/>
                      <w:ind w:left="320" w:leftChars="100" w:right="320" w:rightChars="100" w:firstLine="0" w:firstLineChars="0"/>
                      <w:rPr>
                        <w:rStyle w:val="11"/>
                        <w:rFonts w:hint="eastAsia" w:ascii="宋体" w:hAnsi="宋体" w:eastAsia="宋体" w:cstheme="minorBidi"/>
                        <w:sz w:val="28"/>
                        <w:szCs w:val="28"/>
                        <w:lang w:val="en" w:eastAsia="zh-CN"/>
                      </w:rPr>
                    </w:pPr>
                    <w:r>
                      <w:rPr>
                        <w:rStyle w:val="11"/>
                        <w:rFonts w:hint="eastAsia" w:ascii="宋体" w:hAnsi="宋体" w:eastAsia="宋体" w:cstheme="minorBidi"/>
                        <w:sz w:val="28"/>
                        <w:szCs w:val="28"/>
                        <w:lang w:val="en" w:eastAsia="zh-CN"/>
                      </w:rPr>
                      <w:t>—</w:t>
                    </w:r>
                    <w:r>
                      <w:rPr>
                        <w:rStyle w:val="11"/>
                        <w:rFonts w:hint="eastAsia" w:ascii="宋体" w:hAnsi="宋体" w:eastAsia="宋体" w:cstheme="minorBidi"/>
                        <w:sz w:val="28"/>
                        <w:szCs w:val="28"/>
                        <w:lang w:val="en-US" w:eastAsia="zh-CN"/>
                      </w:rPr>
                      <w:t xml:space="preserve"> </w:t>
                    </w:r>
                    <w:r>
                      <w:rPr>
                        <w:rStyle w:val="11"/>
                        <w:rFonts w:ascii="宋体" w:hAnsi="宋体" w:eastAsia="宋体" w:cstheme="minorBidi"/>
                        <w:sz w:val="28"/>
                        <w:szCs w:val="28"/>
                        <w:lang w:val="en"/>
                      </w:rPr>
                      <w:fldChar w:fldCharType="begin"/>
                    </w:r>
                    <w:r>
                      <w:rPr>
                        <w:rStyle w:val="11"/>
                        <w:rFonts w:ascii="宋体" w:hAnsi="宋体" w:eastAsia="宋体" w:cstheme="minorBidi"/>
                        <w:sz w:val="28"/>
                        <w:szCs w:val="28"/>
                        <w:lang w:val="en"/>
                      </w:rPr>
                      <w:instrText xml:space="preserve"> PAGE  \* MERGEFORMAT </w:instrText>
                    </w:r>
                    <w:r>
                      <w:rPr>
                        <w:rStyle w:val="11"/>
                        <w:rFonts w:ascii="宋体" w:hAnsi="宋体" w:eastAsia="宋体" w:cstheme="minorBidi"/>
                        <w:sz w:val="28"/>
                        <w:szCs w:val="28"/>
                        <w:lang w:val="en"/>
                      </w:rPr>
                      <w:fldChar w:fldCharType="separate"/>
                    </w:r>
                    <w:r>
                      <w:rPr>
                        <w:rStyle w:val="11"/>
                        <w:rFonts w:ascii="宋体" w:hAnsi="宋体" w:eastAsia="宋体" w:cstheme="minorBidi"/>
                        <w:sz w:val="28"/>
                        <w:szCs w:val="28"/>
                        <w:lang w:val="en"/>
                      </w:rPr>
                      <w:t>1</w:t>
                    </w:r>
                    <w:r>
                      <w:rPr>
                        <w:rStyle w:val="11"/>
                        <w:rFonts w:ascii="宋体" w:hAnsi="宋体" w:eastAsia="宋体" w:cstheme="minorBidi"/>
                        <w:sz w:val="28"/>
                        <w:szCs w:val="28"/>
                        <w:lang w:val="en"/>
                      </w:rPr>
                      <w:fldChar w:fldCharType="end"/>
                    </w:r>
                    <w:r>
                      <w:rPr>
                        <w:rStyle w:val="11"/>
                        <w:rFonts w:hint="eastAsia" w:ascii="宋体" w:hAnsi="宋体" w:eastAsia="宋体" w:cstheme="minorBidi"/>
                        <w:sz w:val="28"/>
                        <w:szCs w:val="28"/>
                        <w:lang w:val="en-US" w:eastAsia="zh-CN"/>
                      </w:rPr>
                      <w:t xml:space="preserve"> </w:t>
                    </w:r>
                    <w:r>
                      <w:rPr>
                        <w:rStyle w:val="11"/>
                        <w:rFonts w:hint="eastAsia" w:ascii="宋体" w:hAnsi="宋体" w:eastAsia="宋体" w:cstheme="minorBidi"/>
                        <w:sz w:val="28"/>
                        <w:szCs w:val="28"/>
                        <w:lang w:val="en"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right="360" w:firstLine="0" w:firstLineChars="0"/>
      <w:rPr>
        <w:rFonts w:ascii="Calibri"/>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95E23"/>
    <w:multiLevelType w:val="multilevel"/>
    <w:tmpl w:val="31595E23"/>
    <w:lvl w:ilvl="0" w:tentative="0">
      <w:start w:val="1"/>
      <w:numFmt w:val="chineseCountingThousand"/>
      <w:pStyle w:val="17"/>
      <w:lvlText w:val="（%1）"/>
      <w:lvlJc w:val="left"/>
      <w:pPr>
        <w:ind w:left="562" w:hanging="420"/>
      </w:pPr>
      <w:rPr>
        <w:rFonts w:hint="eastAsia" w:eastAsia="楷体_GB2312"/>
        <w:b w:val="0"/>
        <w:i w:val="0"/>
        <w:sz w:val="32"/>
      </w:rPr>
    </w:lvl>
    <w:lvl w:ilvl="1" w:tentative="0">
      <w:start w:val="1"/>
      <w:numFmt w:val="lowerLetter"/>
      <w:lvlText w:val="%2)"/>
      <w:lvlJc w:val="left"/>
      <w:pPr>
        <w:ind w:left="-5466" w:hanging="420"/>
      </w:pPr>
    </w:lvl>
    <w:lvl w:ilvl="2" w:tentative="0">
      <w:start w:val="1"/>
      <w:numFmt w:val="lowerRoman"/>
      <w:lvlText w:val="%3."/>
      <w:lvlJc w:val="right"/>
      <w:pPr>
        <w:ind w:left="-5046" w:hanging="420"/>
      </w:pPr>
    </w:lvl>
    <w:lvl w:ilvl="3" w:tentative="0">
      <w:start w:val="1"/>
      <w:numFmt w:val="decimal"/>
      <w:lvlText w:val="%4."/>
      <w:lvlJc w:val="left"/>
      <w:pPr>
        <w:ind w:left="-4626" w:hanging="420"/>
      </w:pPr>
    </w:lvl>
    <w:lvl w:ilvl="4" w:tentative="0">
      <w:start w:val="1"/>
      <w:numFmt w:val="lowerLetter"/>
      <w:lvlText w:val="%5)"/>
      <w:lvlJc w:val="left"/>
      <w:pPr>
        <w:ind w:left="-4206" w:hanging="420"/>
      </w:pPr>
    </w:lvl>
    <w:lvl w:ilvl="5" w:tentative="0">
      <w:start w:val="1"/>
      <w:numFmt w:val="lowerRoman"/>
      <w:lvlText w:val="%6."/>
      <w:lvlJc w:val="right"/>
      <w:pPr>
        <w:ind w:left="-3786" w:hanging="420"/>
      </w:pPr>
    </w:lvl>
    <w:lvl w:ilvl="6" w:tentative="0">
      <w:start w:val="1"/>
      <w:numFmt w:val="decimal"/>
      <w:lvlText w:val="%7."/>
      <w:lvlJc w:val="left"/>
      <w:pPr>
        <w:ind w:left="-3366" w:hanging="420"/>
      </w:pPr>
    </w:lvl>
    <w:lvl w:ilvl="7" w:tentative="0">
      <w:start w:val="1"/>
      <w:numFmt w:val="lowerLetter"/>
      <w:lvlText w:val="%8)"/>
      <w:lvlJc w:val="left"/>
      <w:pPr>
        <w:ind w:left="-2946" w:hanging="420"/>
      </w:pPr>
    </w:lvl>
    <w:lvl w:ilvl="8" w:tentative="0">
      <w:start w:val="1"/>
      <w:numFmt w:val="lowerRoman"/>
      <w:lvlText w:val="%9."/>
      <w:lvlJc w:val="right"/>
      <w:pPr>
        <w:ind w:left="-2526" w:hanging="420"/>
      </w:pPr>
    </w:lvl>
  </w:abstractNum>
  <w:abstractNum w:abstractNumId="1">
    <w:nsid w:val="35EC5FAA"/>
    <w:multiLevelType w:val="multilevel"/>
    <w:tmpl w:val="35EC5FAA"/>
    <w:lvl w:ilvl="0" w:tentative="0">
      <w:start w:val="1"/>
      <w:numFmt w:val="chineseCountingThousand"/>
      <w:pStyle w:val="14"/>
      <w:lvlText w:val="%1、"/>
      <w:lvlJc w:val="left"/>
      <w:pPr>
        <w:ind w:left="1980" w:hanging="420"/>
      </w:pPr>
      <w:rPr>
        <w:rFonts w:hint="eastAsia"/>
        <w:lang w:val="en-US"/>
      </w:rPr>
    </w:lvl>
    <w:lvl w:ilvl="1" w:tentative="0">
      <w:start w:val="1"/>
      <w:numFmt w:val="lowerLetter"/>
      <w:lvlText w:val="%2)"/>
      <w:lvlJc w:val="left"/>
      <w:pPr>
        <w:ind w:left="6865" w:hanging="420"/>
      </w:pPr>
    </w:lvl>
    <w:lvl w:ilvl="2" w:tentative="0">
      <w:start w:val="1"/>
      <w:numFmt w:val="lowerRoman"/>
      <w:lvlText w:val="%3."/>
      <w:lvlJc w:val="right"/>
      <w:pPr>
        <w:ind w:left="7285" w:hanging="420"/>
      </w:pPr>
    </w:lvl>
    <w:lvl w:ilvl="3" w:tentative="0">
      <w:start w:val="1"/>
      <w:numFmt w:val="decimal"/>
      <w:lvlText w:val="%4."/>
      <w:lvlJc w:val="left"/>
      <w:pPr>
        <w:ind w:left="7705" w:hanging="420"/>
      </w:pPr>
    </w:lvl>
    <w:lvl w:ilvl="4" w:tentative="0">
      <w:start w:val="1"/>
      <w:numFmt w:val="lowerLetter"/>
      <w:lvlText w:val="%5)"/>
      <w:lvlJc w:val="left"/>
      <w:pPr>
        <w:ind w:left="8125" w:hanging="420"/>
      </w:pPr>
    </w:lvl>
    <w:lvl w:ilvl="5" w:tentative="0">
      <w:start w:val="1"/>
      <w:numFmt w:val="lowerRoman"/>
      <w:lvlText w:val="%6."/>
      <w:lvlJc w:val="right"/>
      <w:pPr>
        <w:ind w:left="8545" w:hanging="420"/>
      </w:pPr>
    </w:lvl>
    <w:lvl w:ilvl="6" w:tentative="0">
      <w:start w:val="1"/>
      <w:numFmt w:val="decimal"/>
      <w:lvlText w:val="%7."/>
      <w:lvlJc w:val="left"/>
      <w:pPr>
        <w:ind w:left="8965" w:hanging="420"/>
      </w:pPr>
    </w:lvl>
    <w:lvl w:ilvl="7" w:tentative="0">
      <w:start w:val="1"/>
      <w:numFmt w:val="lowerLetter"/>
      <w:lvlText w:val="%8)"/>
      <w:lvlJc w:val="left"/>
      <w:pPr>
        <w:ind w:left="9385" w:hanging="420"/>
      </w:pPr>
    </w:lvl>
    <w:lvl w:ilvl="8" w:tentative="0">
      <w:start w:val="1"/>
      <w:numFmt w:val="lowerRoman"/>
      <w:lvlText w:val="%9."/>
      <w:lvlJc w:val="right"/>
      <w:pPr>
        <w:ind w:left="98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11"/>
    <w:rsid w:val="000A1A0F"/>
    <w:rsid w:val="000B2795"/>
    <w:rsid w:val="000C2090"/>
    <w:rsid w:val="001C22DB"/>
    <w:rsid w:val="001E13F6"/>
    <w:rsid w:val="00252DCC"/>
    <w:rsid w:val="00292088"/>
    <w:rsid w:val="0030009A"/>
    <w:rsid w:val="00331063"/>
    <w:rsid w:val="00363FC0"/>
    <w:rsid w:val="00385D09"/>
    <w:rsid w:val="0041630E"/>
    <w:rsid w:val="004170B5"/>
    <w:rsid w:val="00447AC9"/>
    <w:rsid w:val="00454864"/>
    <w:rsid w:val="00497370"/>
    <w:rsid w:val="005F4C93"/>
    <w:rsid w:val="006721F0"/>
    <w:rsid w:val="006A7BDB"/>
    <w:rsid w:val="00700B11"/>
    <w:rsid w:val="00783048"/>
    <w:rsid w:val="00783BC9"/>
    <w:rsid w:val="007E0F3E"/>
    <w:rsid w:val="00867EA2"/>
    <w:rsid w:val="008C0099"/>
    <w:rsid w:val="008C21FA"/>
    <w:rsid w:val="009302AE"/>
    <w:rsid w:val="0094429F"/>
    <w:rsid w:val="009F1BC4"/>
    <w:rsid w:val="00A75563"/>
    <w:rsid w:val="00AC057B"/>
    <w:rsid w:val="00B10D66"/>
    <w:rsid w:val="00B111D6"/>
    <w:rsid w:val="00B63F15"/>
    <w:rsid w:val="00C14222"/>
    <w:rsid w:val="00C80D86"/>
    <w:rsid w:val="00C96B18"/>
    <w:rsid w:val="00D1116D"/>
    <w:rsid w:val="00D37CEC"/>
    <w:rsid w:val="00D41485"/>
    <w:rsid w:val="00D41AC2"/>
    <w:rsid w:val="00DD6FDB"/>
    <w:rsid w:val="00E042E2"/>
    <w:rsid w:val="00E04413"/>
    <w:rsid w:val="00EA0BAD"/>
    <w:rsid w:val="00EA595E"/>
    <w:rsid w:val="00F557FA"/>
    <w:rsid w:val="00FA30CD"/>
    <w:rsid w:val="00FE1FB5"/>
    <w:rsid w:val="11B9FEBD"/>
    <w:rsid w:val="17CF5FD9"/>
    <w:rsid w:val="1D7F6D5E"/>
    <w:rsid w:val="275FB34C"/>
    <w:rsid w:val="2BE92094"/>
    <w:rsid w:val="2CE77496"/>
    <w:rsid w:val="2FDF5B51"/>
    <w:rsid w:val="2FFF926F"/>
    <w:rsid w:val="36FF4BC5"/>
    <w:rsid w:val="379B1A92"/>
    <w:rsid w:val="3B7B2A4A"/>
    <w:rsid w:val="3B7FFD44"/>
    <w:rsid w:val="3D6AE74D"/>
    <w:rsid w:val="3EB7F183"/>
    <w:rsid w:val="3EFF0C65"/>
    <w:rsid w:val="4EEEB596"/>
    <w:rsid w:val="573219D5"/>
    <w:rsid w:val="57D79B73"/>
    <w:rsid w:val="5DFD26C3"/>
    <w:rsid w:val="5E3E1062"/>
    <w:rsid w:val="5F03B5EC"/>
    <w:rsid w:val="5FA7B6BF"/>
    <w:rsid w:val="5FD4C70D"/>
    <w:rsid w:val="5FDDC405"/>
    <w:rsid w:val="5FFD753D"/>
    <w:rsid w:val="645E235F"/>
    <w:rsid w:val="67D69CB6"/>
    <w:rsid w:val="6BEF2E58"/>
    <w:rsid w:val="6F3FEE09"/>
    <w:rsid w:val="6F9F20D5"/>
    <w:rsid w:val="6FDE6907"/>
    <w:rsid w:val="759FADCB"/>
    <w:rsid w:val="776E0DA2"/>
    <w:rsid w:val="77FD3C64"/>
    <w:rsid w:val="77FE8691"/>
    <w:rsid w:val="7AFAC29E"/>
    <w:rsid w:val="7B7BA070"/>
    <w:rsid w:val="7BFD2157"/>
    <w:rsid w:val="7BFF11DE"/>
    <w:rsid w:val="7D7FB7DF"/>
    <w:rsid w:val="7D7FFD4E"/>
    <w:rsid w:val="7DECFCCD"/>
    <w:rsid w:val="7DFC7AA9"/>
    <w:rsid w:val="7E6EE576"/>
    <w:rsid w:val="7EEAC7CE"/>
    <w:rsid w:val="7F77D531"/>
    <w:rsid w:val="7FBF06C2"/>
    <w:rsid w:val="7FBF68B5"/>
    <w:rsid w:val="7FBFC671"/>
    <w:rsid w:val="7FCB3C35"/>
    <w:rsid w:val="7FCFC1E6"/>
    <w:rsid w:val="7FD50DF8"/>
    <w:rsid w:val="7FD69FD7"/>
    <w:rsid w:val="7FDF5D42"/>
    <w:rsid w:val="7FE780CC"/>
    <w:rsid w:val="7FE7E40F"/>
    <w:rsid w:val="7FF7C226"/>
    <w:rsid w:val="7FFA1BBA"/>
    <w:rsid w:val="7FFAB06D"/>
    <w:rsid w:val="7FFF2CF8"/>
    <w:rsid w:val="9BBB6F41"/>
    <w:rsid w:val="9DEBF8D3"/>
    <w:rsid w:val="A197D3D6"/>
    <w:rsid w:val="A3F61805"/>
    <w:rsid w:val="A5F70CE9"/>
    <w:rsid w:val="AD5FE12F"/>
    <w:rsid w:val="AEEF7FD9"/>
    <w:rsid w:val="AF999164"/>
    <w:rsid w:val="AFE38EF5"/>
    <w:rsid w:val="B1B6D7F1"/>
    <w:rsid w:val="B59F977C"/>
    <w:rsid w:val="B7FE28F8"/>
    <w:rsid w:val="BBDB126A"/>
    <w:rsid w:val="BC778A82"/>
    <w:rsid w:val="BD7F34B0"/>
    <w:rsid w:val="BEFF689D"/>
    <w:rsid w:val="BFD48DAD"/>
    <w:rsid w:val="BFFDFE34"/>
    <w:rsid w:val="CBED6B9E"/>
    <w:rsid w:val="CDEFA811"/>
    <w:rsid w:val="D7FD0C3D"/>
    <w:rsid w:val="D97F3A93"/>
    <w:rsid w:val="DBDFBD11"/>
    <w:rsid w:val="DEAF0A9D"/>
    <w:rsid w:val="DED9C7F5"/>
    <w:rsid w:val="DF9FEF68"/>
    <w:rsid w:val="DFDFB89B"/>
    <w:rsid w:val="DFFFD0E0"/>
    <w:rsid w:val="E3BA06A7"/>
    <w:rsid w:val="E6FFCF67"/>
    <w:rsid w:val="E7ED1501"/>
    <w:rsid w:val="E9EE7699"/>
    <w:rsid w:val="EA9F47DB"/>
    <w:rsid w:val="EBF27A96"/>
    <w:rsid w:val="ECBF7165"/>
    <w:rsid w:val="EFFF4292"/>
    <w:rsid w:val="EFFFFF26"/>
    <w:rsid w:val="F1FFEB9A"/>
    <w:rsid w:val="F2D52B4C"/>
    <w:rsid w:val="F2FA14FE"/>
    <w:rsid w:val="F5F2064F"/>
    <w:rsid w:val="F7DBF40F"/>
    <w:rsid w:val="F8DDE555"/>
    <w:rsid w:val="FB7D07E9"/>
    <w:rsid w:val="FBEBE31A"/>
    <w:rsid w:val="FBEE3642"/>
    <w:rsid w:val="FBFEEF12"/>
    <w:rsid w:val="FCDF6BD2"/>
    <w:rsid w:val="FD7DC572"/>
    <w:rsid w:val="FD9F6C16"/>
    <w:rsid w:val="FDB35460"/>
    <w:rsid w:val="FDFF4D20"/>
    <w:rsid w:val="FE65F424"/>
    <w:rsid w:val="FE7FB538"/>
    <w:rsid w:val="FEAF39D1"/>
    <w:rsid w:val="FEB74042"/>
    <w:rsid w:val="FF5BFD15"/>
    <w:rsid w:val="FF5FAEC1"/>
    <w:rsid w:val="FF71AFAF"/>
    <w:rsid w:val="FF7FDD86"/>
    <w:rsid w:val="FFDEBD1E"/>
    <w:rsid w:val="FFDF6D61"/>
    <w:rsid w:val="FFEB20DB"/>
    <w:rsid w:val="FFF7CB9B"/>
    <w:rsid w:val="FFFB3CCF"/>
    <w:rsid w:val="FFFF4FA6"/>
    <w:rsid w:val="FFFFB5EF"/>
    <w:rsid w:val="FFFFF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仿宋_GB2312" w:hAnsi="Calibri" w:eastAsia="仿宋_GB2312" w:cs="Times New Roman"/>
      <w:kern w:val="2"/>
      <w:sz w:val="32"/>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1"/>
    <w:autoRedefine/>
    <w:qFormat/>
    <w:uiPriority w:val="0"/>
    <w:pPr>
      <w:spacing w:after="120"/>
      <w:textAlignment w:val="baseline"/>
    </w:pPr>
  </w:style>
  <w:style w:type="paragraph" w:styleId="3">
    <w:name w:val="Body Text"/>
    <w:basedOn w:val="1"/>
    <w:next w:val="1"/>
    <w:autoRedefine/>
    <w:semiHidden/>
    <w:unhideWhenUsed/>
    <w:qFormat/>
    <w:uiPriority w:val="99"/>
    <w:pPr>
      <w:adjustRightInd w:val="0"/>
      <w:spacing w:line="240" w:lineRule="auto"/>
      <w:ind w:firstLine="880" w:firstLineChars="200"/>
      <w:jc w:val="both"/>
      <w:textAlignment w:val="baseline"/>
    </w:pPr>
    <w:rPr>
      <w:rFonts w:ascii="Calibri" w:hAnsi="Calibri" w:eastAsia="仿宋_GB2312" w:cs="Times New Roman"/>
      <w:kern w:val="0"/>
      <w:sz w:val="32"/>
      <w:szCs w:val="20"/>
    </w:rPr>
  </w:style>
  <w:style w:type="paragraph" w:styleId="4">
    <w:name w:val="Body Text Indent 2"/>
    <w:basedOn w:val="1"/>
    <w:autoRedefine/>
    <w:unhideWhenUsed/>
    <w:qFormat/>
    <w:uiPriority w:val="99"/>
    <w:pPr>
      <w:spacing w:after="120" w:line="480" w:lineRule="auto"/>
      <w:ind w:left="420" w:leftChars="200"/>
    </w:pPr>
    <w:rPr>
      <w:rFonts w:ascii="Calibri" w:eastAsia="宋体"/>
      <w:szCs w:val="24"/>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8">
    <w:name w:val="Title"/>
    <w:basedOn w:val="1"/>
    <w:next w:val="1"/>
    <w:link w:val="16"/>
    <w:autoRedefine/>
    <w:qFormat/>
    <w:uiPriority w:val="10"/>
    <w:pPr>
      <w:spacing w:before="240" w:after="60"/>
      <w:jc w:val="center"/>
      <w:outlineLvl w:val="0"/>
    </w:pPr>
    <w:rPr>
      <w:rFonts w:eastAsia="宋体" w:asciiTheme="majorHAnsi" w:hAnsiTheme="majorHAnsi" w:cstheme="majorBidi"/>
      <w:b/>
      <w:bCs/>
      <w:szCs w:val="32"/>
    </w:rPr>
  </w:style>
  <w:style w:type="character" w:styleId="11">
    <w:name w:val="page number"/>
    <w:basedOn w:val="10"/>
    <w:autoRedefine/>
    <w:qFormat/>
    <w:uiPriority w:val="0"/>
  </w:style>
  <w:style w:type="character" w:customStyle="1" w:styleId="12">
    <w:name w:val="页脚 字符"/>
    <w:basedOn w:val="10"/>
    <w:link w:val="5"/>
    <w:autoRedefine/>
    <w:qFormat/>
    <w:uiPriority w:val="99"/>
    <w:rPr>
      <w:rFonts w:ascii="仿宋_GB2312" w:hAnsi="Calibri" w:eastAsia="仿宋_GB2312" w:cs="Times New Roman"/>
      <w:sz w:val="18"/>
      <w:szCs w:val="18"/>
    </w:rPr>
  </w:style>
  <w:style w:type="character" w:customStyle="1" w:styleId="13">
    <w:name w:val="页眉 字符"/>
    <w:basedOn w:val="10"/>
    <w:link w:val="6"/>
    <w:autoRedefine/>
    <w:qFormat/>
    <w:uiPriority w:val="99"/>
    <w:rPr>
      <w:rFonts w:ascii="仿宋_GB2312" w:hAnsi="Calibri" w:eastAsia="仿宋_GB2312" w:cs="Times New Roman"/>
      <w:sz w:val="18"/>
      <w:szCs w:val="18"/>
    </w:rPr>
  </w:style>
  <w:style w:type="paragraph" w:customStyle="1" w:styleId="14">
    <w:name w:val="一级标题"/>
    <w:basedOn w:val="1"/>
    <w:link w:val="15"/>
    <w:autoRedefine/>
    <w:qFormat/>
    <w:uiPriority w:val="0"/>
    <w:pPr>
      <w:numPr>
        <w:ilvl w:val="0"/>
        <w:numId w:val="1"/>
      </w:numPr>
      <w:spacing w:line="560" w:lineRule="exact"/>
      <w:ind w:left="0" w:firstLine="200"/>
      <w:outlineLvl w:val="0"/>
    </w:pPr>
    <w:rPr>
      <w:rFonts w:ascii="黑体" w:hAnsi="黑体" w:eastAsia="黑体" w:cs="黑体"/>
      <w:szCs w:val="32"/>
    </w:rPr>
  </w:style>
  <w:style w:type="character" w:customStyle="1" w:styleId="15">
    <w:name w:val="一级标题 Char"/>
    <w:basedOn w:val="16"/>
    <w:link w:val="14"/>
    <w:autoRedefine/>
    <w:qFormat/>
    <w:uiPriority w:val="0"/>
    <w:rPr>
      <w:rFonts w:ascii="黑体" w:hAnsi="黑体" w:eastAsia="黑体" w:cs="黑体"/>
      <w:sz w:val="32"/>
      <w:szCs w:val="32"/>
    </w:rPr>
  </w:style>
  <w:style w:type="character" w:customStyle="1" w:styleId="16">
    <w:name w:val="标题 字符"/>
    <w:basedOn w:val="10"/>
    <w:link w:val="8"/>
    <w:autoRedefine/>
    <w:qFormat/>
    <w:uiPriority w:val="10"/>
    <w:rPr>
      <w:rFonts w:eastAsia="宋体" w:asciiTheme="majorHAnsi" w:hAnsiTheme="majorHAnsi" w:cstheme="majorBidi"/>
      <w:b/>
      <w:bCs/>
      <w:sz w:val="32"/>
      <w:szCs w:val="32"/>
    </w:rPr>
  </w:style>
  <w:style w:type="paragraph" w:customStyle="1" w:styleId="17">
    <w:name w:val="二级标题"/>
    <w:basedOn w:val="14"/>
    <w:link w:val="18"/>
    <w:autoRedefine/>
    <w:qFormat/>
    <w:uiPriority w:val="0"/>
    <w:pPr>
      <w:numPr>
        <w:ilvl w:val="0"/>
        <w:numId w:val="2"/>
      </w:numPr>
      <w:tabs>
        <w:tab w:val="left" w:pos="0"/>
      </w:tabs>
      <w:spacing w:line="520" w:lineRule="exact"/>
      <w:ind w:left="0" w:firstLine="200"/>
    </w:pPr>
    <w:rPr>
      <w:rFonts w:eastAsia="楷体_GB2312"/>
    </w:rPr>
  </w:style>
  <w:style w:type="character" w:customStyle="1" w:styleId="18">
    <w:name w:val="二级标题 Char"/>
    <w:basedOn w:val="15"/>
    <w:link w:val="17"/>
    <w:autoRedefine/>
    <w:qFormat/>
    <w:uiPriority w:val="0"/>
    <w:rPr>
      <w:rFonts w:ascii="黑体" w:hAnsi="黑体" w:eastAsia="楷体_GB2312" w:cs="黑体"/>
      <w:sz w:val="32"/>
      <w:szCs w:val="32"/>
    </w:rPr>
  </w:style>
  <w:style w:type="paragraph" w:customStyle="1" w:styleId="19">
    <w:name w:val="公文标题"/>
    <w:basedOn w:val="1"/>
    <w:link w:val="20"/>
    <w:autoRedefine/>
    <w:qFormat/>
    <w:uiPriority w:val="0"/>
    <w:pPr>
      <w:ind w:firstLine="0" w:firstLineChars="0"/>
      <w:jc w:val="center"/>
    </w:pPr>
    <w:rPr>
      <w:rFonts w:ascii="方正小标宋简体" w:eastAsia="方正小标宋简体"/>
      <w:sz w:val="44"/>
      <w:szCs w:val="44"/>
    </w:rPr>
  </w:style>
  <w:style w:type="character" w:customStyle="1" w:styleId="20">
    <w:name w:val="公文标题 Char"/>
    <w:basedOn w:val="10"/>
    <w:link w:val="19"/>
    <w:autoRedefine/>
    <w:qFormat/>
    <w:uiPriority w:val="0"/>
    <w:rPr>
      <w:rFonts w:ascii="方正小标宋简体" w:hAnsi="Calibri" w:eastAsia="方正小标宋简体" w:cs="Times New Roman"/>
      <w:sz w:val="44"/>
      <w:szCs w:val="44"/>
    </w:rPr>
  </w:style>
  <w:style w:type="paragraph" w:styleId="21">
    <w:name w:val="List Paragraph"/>
    <w:basedOn w:val="1"/>
    <w:autoRedefine/>
    <w:qFormat/>
    <w:uiPriority w:val="34"/>
    <w:pPr>
      <w:ind w:firstLine="420"/>
    </w:pPr>
  </w:style>
  <w:style w:type="paragraph" w:customStyle="1" w:styleId="22">
    <w:name w:val="修订1"/>
    <w:autoRedefine/>
    <w:hidden/>
    <w:unhideWhenUsed/>
    <w:qFormat/>
    <w:uiPriority w:val="99"/>
    <w:rPr>
      <w:rFonts w:ascii="仿宋_GB2312" w:hAnsi="Calibri" w:eastAsia="仿宋_GB2312" w:cs="Times New Roman"/>
      <w:kern w:val="2"/>
      <w:sz w:val="32"/>
      <w:szCs w:val="22"/>
      <w:lang w:val="en-US" w:eastAsia="zh-CN" w:bidi="ar-SA"/>
    </w:rPr>
  </w:style>
  <w:style w:type="character" w:customStyle="1" w:styleId="23">
    <w:name w:val="data-color--tt-darkmode-c1c1c1"/>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6546</Words>
  <Characters>6685</Characters>
  <Lines>44</Lines>
  <Paragraphs>12</Paragraphs>
  <TotalTime>3</TotalTime>
  <ScaleCrop>false</ScaleCrop>
  <LinksUpToDate>false</LinksUpToDate>
  <CharactersWithSpaces>6727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2024-02-19T11:39:00Z</dcterms:created>
  <dc:creator>张继新</dc:creator>
  <cp:lastModifiedBy>huanglj</cp:lastModifiedBy>
  <cp:lastPrinted>2024-03-29T18:35:00Z</cp:lastPrinted>
  <dcterms:modified xsi:type="dcterms:W3CDTF">2024-03-29T11:52:52Z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E35BA123658247449E36258AE61577A6_13</vt:lpwstr>
  </property>
</Properties>
</file>